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AC6DE" w14:textId="77777777" w:rsidR="00A4368B" w:rsidRPr="00106675" w:rsidRDefault="00A4368B" w:rsidP="00106675">
      <w:pPr>
        <w:pStyle w:val="Heading1"/>
        <w:jc w:val="center"/>
        <w:rPr>
          <w:rFonts w:asciiTheme="minorHAnsi" w:eastAsia="Calibri" w:hAnsiTheme="minorHAnsi" w:cstheme="minorHAnsi"/>
          <w:b/>
          <w:sz w:val="24"/>
          <w:szCs w:val="24"/>
        </w:rPr>
      </w:pPr>
      <w:bookmarkStart w:id="0" w:name="_GoBack"/>
      <w:bookmarkEnd w:id="0"/>
      <w:r w:rsidRPr="00106675">
        <w:rPr>
          <w:rFonts w:asciiTheme="minorHAnsi" w:eastAsia="Calibri" w:hAnsiTheme="minorHAnsi" w:cstheme="minorHAnsi"/>
          <w:b/>
          <w:color w:val="auto"/>
          <w:sz w:val="24"/>
          <w:szCs w:val="24"/>
        </w:rPr>
        <w:t>RULES AND REGULATIONS</w:t>
      </w:r>
      <w:r w:rsidRPr="00106675">
        <w:rPr>
          <w:rFonts w:asciiTheme="minorHAnsi" w:eastAsia="Calibri" w:hAnsiTheme="minorHAnsi" w:cstheme="minorHAnsi"/>
          <w:b/>
          <w:color w:val="auto"/>
          <w:sz w:val="24"/>
          <w:szCs w:val="24"/>
        </w:rPr>
        <w:br/>
        <w:t>CONCERNING MINIMUM STANDARDS FOR THE OPERATION</w:t>
      </w:r>
      <w:r w:rsidRPr="00106675">
        <w:rPr>
          <w:rFonts w:asciiTheme="minorHAnsi" w:eastAsia="Calibri" w:hAnsiTheme="minorHAnsi" w:cstheme="minorHAnsi"/>
          <w:b/>
          <w:color w:val="auto"/>
          <w:sz w:val="24"/>
          <w:szCs w:val="24"/>
        </w:rPr>
        <w:br/>
        <w:t>OF COMMERCIAL VEHICLES</w:t>
      </w:r>
      <w:r w:rsidRPr="00106675">
        <w:rPr>
          <w:rFonts w:asciiTheme="minorHAnsi" w:eastAsia="Calibri" w:hAnsiTheme="minorHAnsi" w:cstheme="minorHAnsi"/>
          <w:b/>
          <w:sz w:val="24"/>
          <w:szCs w:val="24"/>
        </w:rPr>
        <w:br/>
      </w:r>
    </w:p>
    <w:p w14:paraId="0C5BE7A0" w14:textId="77777777" w:rsidR="00A4368B" w:rsidRPr="00106675" w:rsidRDefault="00A4368B" w:rsidP="00106675">
      <w:pPr>
        <w:pStyle w:val="Heading2"/>
        <w:jc w:val="center"/>
        <w:rPr>
          <w:rFonts w:asciiTheme="minorHAnsi" w:eastAsia="Calibri" w:hAnsiTheme="minorHAnsi" w:cstheme="minorHAnsi"/>
          <w:b/>
          <w:sz w:val="24"/>
          <w:szCs w:val="24"/>
        </w:rPr>
      </w:pPr>
      <w:r w:rsidRPr="00106675">
        <w:rPr>
          <w:rFonts w:asciiTheme="minorHAnsi" w:hAnsiTheme="minorHAnsi" w:cstheme="minorHAnsi"/>
          <w:b/>
          <w:color w:val="auto"/>
          <w:sz w:val="24"/>
          <w:szCs w:val="24"/>
          <w:u w:color="000000"/>
        </w:rPr>
        <w:t>STATEMENT OF</w:t>
      </w:r>
      <w:r w:rsidRPr="00106675">
        <w:rPr>
          <w:rFonts w:asciiTheme="minorHAnsi" w:hAnsiTheme="minorHAnsi" w:cstheme="minorHAnsi"/>
          <w:b/>
          <w:color w:val="auto"/>
          <w:spacing w:val="-3"/>
          <w:sz w:val="24"/>
          <w:szCs w:val="24"/>
          <w:u w:color="000000"/>
        </w:rPr>
        <w:t xml:space="preserve"> </w:t>
      </w:r>
      <w:r w:rsidRPr="00106675">
        <w:rPr>
          <w:rFonts w:asciiTheme="minorHAnsi" w:hAnsiTheme="minorHAnsi" w:cstheme="minorHAnsi"/>
          <w:b/>
          <w:color w:val="auto"/>
          <w:sz w:val="24"/>
          <w:szCs w:val="24"/>
          <w:u w:color="000000"/>
        </w:rPr>
        <w:t>BASIS, STATUTORY</w:t>
      </w:r>
      <w:r w:rsidRPr="00106675">
        <w:rPr>
          <w:rFonts w:asciiTheme="minorHAnsi" w:hAnsiTheme="minorHAnsi" w:cstheme="minorHAnsi"/>
          <w:b/>
          <w:color w:val="auto"/>
          <w:spacing w:val="-2"/>
          <w:sz w:val="24"/>
          <w:szCs w:val="24"/>
          <w:u w:color="000000"/>
        </w:rPr>
        <w:t xml:space="preserve"> </w:t>
      </w:r>
      <w:r w:rsidRPr="00106675">
        <w:rPr>
          <w:rFonts w:asciiTheme="minorHAnsi" w:hAnsiTheme="minorHAnsi" w:cstheme="minorHAnsi"/>
          <w:b/>
          <w:color w:val="auto"/>
          <w:sz w:val="24"/>
          <w:szCs w:val="24"/>
          <w:u w:color="000000"/>
        </w:rPr>
        <w:t>AUTHORITY, AND</w:t>
      </w:r>
      <w:r w:rsidRPr="00106675">
        <w:rPr>
          <w:rFonts w:asciiTheme="minorHAnsi" w:hAnsiTheme="minorHAnsi" w:cstheme="minorHAnsi"/>
          <w:b/>
          <w:color w:val="auto"/>
          <w:spacing w:val="-5"/>
          <w:sz w:val="24"/>
          <w:szCs w:val="24"/>
          <w:u w:color="000000"/>
        </w:rPr>
        <w:t xml:space="preserve"> </w:t>
      </w:r>
      <w:r w:rsidRPr="00106675">
        <w:rPr>
          <w:rFonts w:asciiTheme="minorHAnsi" w:hAnsiTheme="minorHAnsi" w:cstheme="minorHAnsi"/>
          <w:b/>
          <w:color w:val="auto"/>
          <w:sz w:val="24"/>
          <w:szCs w:val="24"/>
          <w:u w:color="000000"/>
        </w:rPr>
        <w:t>PURPOSE</w:t>
      </w:r>
      <w:r w:rsidRPr="00106675">
        <w:rPr>
          <w:rFonts w:asciiTheme="minorHAnsi" w:eastAsia="Calibri" w:hAnsiTheme="minorHAnsi" w:cstheme="minorHAnsi"/>
          <w:b/>
          <w:sz w:val="24"/>
          <w:szCs w:val="24"/>
        </w:rPr>
        <w:br/>
      </w:r>
    </w:p>
    <w:p w14:paraId="3CD1A8B6" w14:textId="77777777" w:rsidR="00A4368B" w:rsidRPr="00A4368B" w:rsidRDefault="00A4368B" w:rsidP="00106675">
      <w:pPr>
        <w:pStyle w:val="BodyText"/>
        <w:spacing w:before="56" w:after="240" w:line="259" w:lineRule="auto"/>
        <w:ind w:left="120" w:right="117" w:firstLine="0"/>
        <w:jc w:val="both"/>
        <w:rPr>
          <w:sz w:val="24"/>
        </w:rPr>
      </w:pPr>
      <w:r w:rsidRPr="00A4368B">
        <w:rPr>
          <w:spacing w:val="-1"/>
          <w:sz w:val="24"/>
        </w:rPr>
        <w:t>Under</w:t>
      </w:r>
      <w:r w:rsidRPr="00A4368B">
        <w:rPr>
          <w:spacing w:val="47"/>
          <w:sz w:val="24"/>
        </w:rPr>
        <w:t xml:space="preserve"> </w:t>
      </w:r>
      <w:r w:rsidRPr="00A4368B">
        <w:rPr>
          <w:spacing w:val="-1"/>
          <w:sz w:val="24"/>
        </w:rPr>
        <w:t>§42-4-235</w:t>
      </w:r>
      <w:r w:rsidRPr="00A4368B">
        <w:rPr>
          <w:spacing w:val="49"/>
          <w:sz w:val="24"/>
        </w:rPr>
        <w:t xml:space="preserve"> </w:t>
      </w:r>
      <w:r w:rsidRPr="00A4368B">
        <w:rPr>
          <w:spacing w:val="-1"/>
          <w:sz w:val="24"/>
        </w:rPr>
        <w:t>(4)</w:t>
      </w:r>
      <w:r w:rsidRPr="00A4368B">
        <w:rPr>
          <w:spacing w:val="45"/>
          <w:sz w:val="24"/>
        </w:rPr>
        <w:t xml:space="preserve"> </w:t>
      </w:r>
      <w:r w:rsidRPr="00A4368B">
        <w:rPr>
          <w:spacing w:val="-1"/>
          <w:sz w:val="24"/>
        </w:rPr>
        <w:t>(a)</w:t>
      </w:r>
      <w:r w:rsidRPr="00A4368B">
        <w:rPr>
          <w:spacing w:val="49"/>
          <w:sz w:val="24"/>
        </w:rPr>
        <w:t xml:space="preserve"> </w:t>
      </w:r>
      <w:r w:rsidRPr="00A4368B">
        <w:rPr>
          <w:spacing w:val="-2"/>
          <w:sz w:val="24"/>
        </w:rPr>
        <w:t>(I),</w:t>
      </w:r>
      <w:r w:rsidRPr="00A4368B">
        <w:rPr>
          <w:spacing w:val="48"/>
          <w:sz w:val="24"/>
        </w:rPr>
        <w:t xml:space="preserve"> </w:t>
      </w:r>
      <w:r w:rsidRPr="00A4368B">
        <w:rPr>
          <w:spacing w:val="-1"/>
          <w:sz w:val="24"/>
        </w:rPr>
        <w:t>CRS,</w:t>
      </w:r>
      <w:r w:rsidRPr="00A4368B">
        <w:rPr>
          <w:spacing w:val="46"/>
          <w:sz w:val="24"/>
        </w:rPr>
        <w:t xml:space="preserve"> </w:t>
      </w:r>
      <w:r w:rsidRPr="00A4368B">
        <w:rPr>
          <w:sz w:val="24"/>
        </w:rPr>
        <w:t>the</w:t>
      </w:r>
      <w:r w:rsidRPr="00A4368B">
        <w:rPr>
          <w:spacing w:val="45"/>
          <w:sz w:val="24"/>
        </w:rPr>
        <w:t xml:space="preserve"> </w:t>
      </w:r>
      <w:r w:rsidRPr="00A4368B">
        <w:rPr>
          <w:spacing w:val="-1"/>
          <w:sz w:val="24"/>
        </w:rPr>
        <w:t>Chief</w:t>
      </w:r>
      <w:r w:rsidRPr="00A4368B">
        <w:rPr>
          <w:spacing w:val="45"/>
          <w:sz w:val="24"/>
        </w:rPr>
        <w:t xml:space="preserve"> </w:t>
      </w:r>
      <w:r w:rsidRPr="00A4368B">
        <w:rPr>
          <w:sz w:val="24"/>
        </w:rPr>
        <w:t>of</w:t>
      </w:r>
      <w:r w:rsidRPr="00A4368B">
        <w:rPr>
          <w:spacing w:val="49"/>
          <w:sz w:val="24"/>
        </w:rPr>
        <w:t xml:space="preserve"> </w:t>
      </w:r>
      <w:r w:rsidRPr="00A4368B">
        <w:rPr>
          <w:sz w:val="24"/>
        </w:rPr>
        <w:t>the</w:t>
      </w:r>
      <w:r w:rsidRPr="00A4368B">
        <w:rPr>
          <w:spacing w:val="47"/>
          <w:sz w:val="24"/>
        </w:rPr>
        <w:t xml:space="preserve"> </w:t>
      </w:r>
      <w:r w:rsidRPr="00A4368B">
        <w:rPr>
          <w:spacing w:val="-1"/>
          <w:sz w:val="24"/>
        </w:rPr>
        <w:t>Colorado</w:t>
      </w:r>
      <w:r w:rsidRPr="00A4368B">
        <w:rPr>
          <w:spacing w:val="47"/>
          <w:sz w:val="24"/>
        </w:rPr>
        <w:t xml:space="preserve"> </w:t>
      </w:r>
      <w:r w:rsidRPr="00A4368B">
        <w:rPr>
          <w:spacing w:val="-1"/>
          <w:sz w:val="24"/>
        </w:rPr>
        <w:t>State</w:t>
      </w:r>
      <w:r w:rsidRPr="00A4368B">
        <w:rPr>
          <w:spacing w:val="47"/>
          <w:sz w:val="24"/>
        </w:rPr>
        <w:t xml:space="preserve"> </w:t>
      </w:r>
      <w:r w:rsidRPr="00A4368B">
        <w:rPr>
          <w:spacing w:val="-2"/>
          <w:sz w:val="24"/>
        </w:rPr>
        <w:t>Patrol</w:t>
      </w:r>
      <w:r w:rsidRPr="00A4368B">
        <w:rPr>
          <w:spacing w:val="48"/>
          <w:sz w:val="24"/>
        </w:rPr>
        <w:t xml:space="preserve"> </w:t>
      </w:r>
      <w:r w:rsidRPr="00A4368B">
        <w:rPr>
          <w:spacing w:val="-1"/>
          <w:sz w:val="24"/>
        </w:rPr>
        <w:t>has</w:t>
      </w:r>
      <w:r w:rsidRPr="00A4368B">
        <w:rPr>
          <w:spacing w:val="47"/>
          <w:sz w:val="24"/>
        </w:rPr>
        <w:t xml:space="preserve"> </w:t>
      </w:r>
      <w:r w:rsidRPr="00A4368B">
        <w:rPr>
          <w:sz w:val="24"/>
        </w:rPr>
        <w:t>the</w:t>
      </w:r>
      <w:r w:rsidRPr="00A4368B">
        <w:rPr>
          <w:spacing w:val="46"/>
          <w:sz w:val="24"/>
        </w:rPr>
        <w:t xml:space="preserve"> </w:t>
      </w:r>
      <w:r w:rsidRPr="00A4368B">
        <w:rPr>
          <w:spacing w:val="-1"/>
          <w:sz w:val="24"/>
        </w:rPr>
        <w:t>authority</w:t>
      </w:r>
      <w:r w:rsidRPr="00A4368B">
        <w:rPr>
          <w:spacing w:val="47"/>
          <w:sz w:val="24"/>
        </w:rPr>
        <w:t xml:space="preserve"> </w:t>
      </w:r>
      <w:r w:rsidRPr="00A4368B">
        <w:rPr>
          <w:sz w:val="24"/>
        </w:rPr>
        <w:t>to</w:t>
      </w:r>
      <w:r w:rsidRPr="00A4368B">
        <w:rPr>
          <w:spacing w:val="61"/>
          <w:sz w:val="24"/>
        </w:rPr>
        <w:t xml:space="preserve"> </w:t>
      </w:r>
      <w:r w:rsidRPr="00A4368B">
        <w:rPr>
          <w:spacing w:val="-1"/>
          <w:sz w:val="24"/>
        </w:rPr>
        <w:t>promulgate</w:t>
      </w:r>
      <w:r w:rsidRPr="00A4368B">
        <w:rPr>
          <w:spacing w:val="48"/>
          <w:sz w:val="24"/>
        </w:rPr>
        <w:t xml:space="preserve"> </w:t>
      </w:r>
      <w:r w:rsidRPr="00A4368B">
        <w:rPr>
          <w:spacing w:val="-1"/>
          <w:sz w:val="24"/>
        </w:rPr>
        <w:t>rules</w:t>
      </w:r>
      <w:r w:rsidRPr="00A4368B">
        <w:rPr>
          <w:spacing w:val="46"/>
          <w:sz w:val="24"/>
        </w:rPr>
        <w:t xml:space="preserve"> </w:t>
      </w:r>
      <w:r w:rsidRPr="00A4368B">
        <w:rPr>
          <w:spacing w:val="-1"/>
          <w:sz w:val="24"/>
        </w:rPr>
        <w:t>and</w:t>
      </w:r>
      <w:r w:rsidRPr="00A4368B">
        <w:rPr>
          <w:spacing w:val="48"/>
          <w:sz w:val="24"/>
        </w:rPr>
        <w:t xml:space="preserve"> </w:t>
      </w:r>
      <w:r w:rsidRPr="00A4368B">
        <w:rPr>
          <w:spacing w:val="-1"/>
          <w:sz w:val="24"/>
        </w:rPr>
        <w:t>regulations</w:t>
      </w:r>
      <w:r w:rsidRPr="00A4368B">
        <w:rPr>
          <w:spacing w:val="45"/>
          <w:sz w:val="24"/>
        </w:rPr>
        <w:t xml:space="preserve"> </w:t>
      </w:r>
      <w:r w:rsidRPr="00A4368B">
        <w:rPr>
          <w:spacing w:val="-1"/>
          <w:sz w:val="24"/>
        </w:rPr>
        <w:t>establishing</w:t>
      </w:r>
      <w:r w:rsidRPr="00A4368B">
        <w:rPr>
          <w:spacing w:val="45"/>
          <w:sz w:val="24"/>
        </w:rPr>
        <w:t xml:space="preserve"> </w:t>
      </w:r>
      <w:r w:rsidRPr="00A4368B">
        <w:rPr>
          <w:spacing w:val="-1"/>
          <w:sz w:val="24"/>
        </w:rPr>
        <w:t>minimum</w:t>
      </w:r>
      <w:r w:rsidRPr="00A4368B">
        <w:rPr>
          <w:spacing w:val="47"/>
          <w:sz w:val="24"/>
        </w:rPr>
        <w:t xml:space="preserve"> </w:t>
      </w:r>
      <w:r w:rsidRPr="00A4368B">
        <w:rPr>
          <w:spacing w:val="-1"/>
          <w:sz w:val="24"/>
        </w:rPr>
        <w:t>standards</w:t>
      </w:r>
      <w:r w:rsidRPr="00A4368B">
        <w:rPr>
          <w:spacing w:val="46"/>
          <w:sz w:val="24"/>
        </w:rPr>
        <w:t xml:space="preserve"> </w:t>
      </w:r>
      <w:r w:rsidRPr="00A4368B">
        <w:rPr>
          <w:spacing w:val="-1"/>
          <w:sz w:val="24"/>
        </w:rPr>
        <w:t>for</w:t>
      </w:r>
      <w:r w:rsidRPr="00A4368B">
        <w:rPr>
          <w:spacing w:val="45"/>
          <w:sz w:val="24"/>
        </w:rPr>
        <w:t xml:space="preserve"> </w:t>
      </w:r>
      <w:r w:rsidRPr="00A4368B">
        <w:rPr>
          <w:sz w:val="24"/>
        </w:rPr>
        <w:t>the</w:t>
      </w:r>
      <w:r w:rsidRPr="00A4368B">
        <w:rPr>
          <w:spacing w:val="46"/>
          <w:sz w:val="24"/>
        </w:rPr>
        <w:t xml:space="preserve"> </w:t>
      </w:r>
      <w:r w:rsidRPr="00A4368B">
        <w:rPr>
          <w:spacing w:val="-1"/>
          <w:sz w:val="24"/>
        </w:rPr>
        <w:t>operation</w:t>
      </w:r>
      <w:r w:rsidRPr="00A4368B">
        <w:rPr>
          <w:spacing w:val="45"/>
          <w:sz w:val="24"/>
        </w:rPr>
        <w:t xml:space="preserve"> </w:t>
      </w:r>
      <w:r w:rsidRPr="00A4368B">
        <w:rPr>
          <w:sz w:val="24"/>
        </w:rPr>
        <w:t>of</w:t>
      </w:r>
      <w:r w:rsidRPr="00A4368B">
        <w:rPr>
          <w:spacing w:val="45"/>
          <w:sz w:val="24"/>
        </w:rPr>
        <w:t xml:space="preserve"> </w:t>
      </w:r>
      <w:r w:rsidRPr="00A4368B">
        <w:rPr>
          <w:spacing w:val="-1"/>
          <w:sz w:val="24"/>
        </w:rPr>
        <w:t>commercial</w:t>
      </w:r>
      <w:r w:rsidRPr="00A4368B">
        <w:rPr>
          <w:spacing w:val="69"/>
          <w:sz w:val="24"/>
        </w:rPr>
        <w:t xml:space="preserve"> </w:t>
      </w:r>
      <w:r w:rsidRPr="00A4368B">
        <w:rPr>
          <w:spacing w:val="-1"/>
          <w:sz w:val="24"/>
        </w:rPr>
        <w:t>vehicles</w:t>
      </w:r>
      <w:r w:rsidRPr="00A4368B">
        <w:rPr>
          <w:sz w:val="24"/>
        </w:rPr>
        <w:t xml:space="preserve"> </w:t>
      </w:r>
      <w:r w:rsidRPr="00A4368B">
        <w:rPr>
          <w:spacing w:val="-1"/>
          <w:sz w:val="24"/>
        </w:rPr>
        <w:t>within Colorado.</w:t>
      </w:r>
    </w:p>
    <w:p w14:paraId="524221D0" w14:textId="77777777" w:rsidR="00A4368B" w:rsidRPr="00106675" w:rsidRDefault="00A4368B" w:rsidP="00106675">
      <w:pPr>
        <w:pStyle w:val="Heading3"/>
        <w:spacing w:after="240"/>
        <w:rPr>
          <w:rFonts w:asciiTheme="minorHAnsi" w:hAnsiTheme="minorHAnsi" w:cstheme="minorHAnsi"/>
          <w:b/>
        </w:rPr>
      </w:pPr>
      <w:r w:rsidRPr="00106675">
        <w:rPr>
          <w:rFonts w:asciiTheme="minorHAnsi" w:hAnsiTheme="minorHAnsi" w:cstheme="minorHAnsi"/>
          <w:b/>
          <w:color w:val="auto"/>
        </w:rPr>
        <w:t>Amendments</w:t>
      </w:r>
      <w:r w:rsidRPr="00106675">
        <w:rPr>
          <w:rFonts w:asciiTheme="minorHAnsi" w:hAnsiTheme="minorHAnsi" w:cstheme="minorHAnsi"/>
          <w:b/>
          <w:color w:val="auto"/>
          <w:spacing w:val="-3"/>
        </w:rPr>
        <w:t xml:space="preserve"> </w:t>
      </w:r>
      <w:r w:rsidRPr="00106675">
        <w:rPr>
          <w:rFonts w:asciiTheme="minorHAnsi" w:hAnsiTheme="minorHAnsi" w:cstheme="minorHAnsi"/>
          <w:b/>
          <w:color w:val="auto"/>
        </w:rPr>
        <w:t xml:space="preserve">proposed to 8 </w:t>
      </w:r>
      <w:r w:rsidRPr="00106675">
        <w:rPr>
          <w:rFonts w:asciiTheme="minorHAnsi" w:hAnsiTheme="minorHAnsi" w:cstheme="minorHAnsi"/>
          <w:b/>
          <w:color w:val="auto"/>
          <w:spacing w:val="-2"/>
        </w:rPr>
        <w:t>CCR</w:t>
      </w:r>
      <w:r w:rsidRPr="00106675">
        <w:rPr>
          <w:rFonts w:asciiTheme="minorHAnsi" w:hAnsiTheme="minorHAnsi" w:cstheme="minorHAnsi"/>
          <w:b/>
          <w:color w:val="auto"/>
        </w:rPr>
        <w:t xml:space="preserve"> 1507-1 include:</w:t>
      </w:r>
    </w:p>
    <w:p w14:paraId="4E17FE48" w14:textId="77777777" w:rsidR="00A4368B" w:rsidRPr="00A4368B" w:rsidRDefault="00A4368B" w:rsidP="00A4368B">
      <w:pPr>
        <w:pStyle w:val="BodyText"/>
        <w:numPr>
          <w:ilvl w:val="0"/>
          <w:numId w:val="1"/>
        </w:numPr>
        <w:tabs>
          <w:tab w:val="left" w:pos="841"/>
        </w:tabs>
      </w:pPr>
      <w:bookmarkStart w:id="1" w:name="_Hlk184417021"/>
      <w:r>
        <w:rPr>
          <w:sz w:val="24"/>
          <w:szCs w:val="24"/>
        </w:rPr>
        <w:t>Document formatting adjustments that do not affect the content or interpretation of these rules have been made throughout the document to comply with the state accessibility standards required under Section 24-34-802, CRS.  Examples of these adjustments include changing capitalized text to mixed-case or lower-case text, removing underlined text, increasing font size, using the word “section” instead of the section symbol, enabling hyperlinked text, and adjusting the document’s paragraph structure to support electronic bookmarking for use with electronic reading software.</w:t>
      </w:r>
      <w:bookmarkEnd w:id="1"/>
    </w:p>
    <w:p w14:paraId="0982E235" w14:textId="77777777" w:rsidR="00A4368B" w:rsidRPr="00A4368B" w:rsidRDefault="00A4368B" w:rsidP="00A4368B">
      <w:pPr>
        <w:pStyle w:val="BodyText"/>
        <w:numPr>
          <w:ilvl w:val="0"/>
          <w:numId w:val="1"/>
        </w:numPr>
        <w:tabs>
          <w:tab w:val="left" w:pos="841"/>
        </w:tabs>
      </w:pPr>
      <w:r w:rsidRPr="00A4368B">
        <w:rPr>
          <w:sz w:val="24"/>
        </w:rPr>
        <w:t>Insertion of a Table of Contents, facilitating document navigation.</w:t>
      </w:r>
    </w:p>
    <w:p w14:paraId="7D2CBAC1" w14:textId="77777777" w:rsidR="00A4368B" w:rsidRPr="00A4368B" w:rsidRDefault="00A4368B" w:rsidP="00A4368B">
      <w:pPr>
        <w:pStyle w:val="BodyText"/>
        <w:numPr>
          <w:ilvl w:val="0"/>
          <w:numId w:val="1"/>
        </w:numPr>
        <w:tabs>
          <w:tab w:val="left" w:pos="841"/>
        </w:tabs>
        <w:rPr>
          <w:sz w:val="24"/>
        </w:rPr>
      </w:pPr>
      <w:r>
        <w:rPr>
          <w:sz w:val="24"/>
        </w:rPr>
        <w:t>To include a new definition for “Authorized Enforcement Official,” clarifying</w:t>
      </w:r>
      <w:r>
        <w:rPr>
          <w:bCs/>
          <w:sz w:val="24"/>
          <w:szCs w:val="24"/>
        </w:rPr>
        <w:t xml:space="preserve"> which law enforcement officials are authorized to complete commercial vehicle inspections and/or compliance reviews and the criteria officers must satisfy.</w:t>
      </w:r>
    </w:p>
    <w:p w14:paraId="38058476" w14:textId="77777777" w:rsidR="00A4368B" w:rsidRPr="00A4368B" w:rsidRDefault="00A4368B" w:rsidP="00A4368B">
      <w:pPr>
        <w:pStyle w:val="BodyText"/>
        <w:numPr>
          <w:ilvl w:val="0"/>
          <w:numId w:val="1"/>
        </w:numPr>
        <w:tabs>
          <w:tab w:val="left" w:pos="841"/>
        </w:tabs>
        <w:spacing w:before="22"/>
        <w:rPr>
          <w:sz w:val="24"/>
        </w:rPr>
      </w:pPr>
      <w:r>
        <w:rPr>
          <w:spacing w:val="-1"/>
          <w:sz w:val="24"/>
        </w:rPr>
        <w:t>Updating references to the commercial vehicle chain law requirements to be consistent with legislative changes effected by SB 24-100 and its amendments of Section 42-4-106, CRS.</w:t>
      </w:r>
      <w:r w:rsidRPr="00A4368B">
        <w:rPr>
          <w:spacing w:val="-1"/>
          <w:sz w:val="24"/>
        </w:rPr>
        <w:t xml:space="preserve"> </w:t>
      </w:r>
    </w:p>
    <w:p w14:paraId="46B77091" w14:textId="77777777" w:rsidR="00A4368B" w:rsidRDefault="00A4368B" w:rsidP="00A4368B">
      <w:pPr>
        <w:pStyle w:val="ListParagraph"/>
        <w:widowControl/>
        <w:numPr>
          <w:ilvl w:val="0"/>
          <w:numId w:val="1"/>
        </w:numPr>
        <w:spacing w:after="160" w:line="259" w:lineRule="auto"/>
        <w:rPr>
          <w:sz w:val="24"/>
          <w:szCs w:val="24"/>
        </w:rPr>
      </w:pPr>
      <w:r>
        <w:rPr>
          <w:sz w:val="24"/>
          <w:szCs w:val="24"/>
        </w:rPr>
        <w:t xml:space="preserve">Updating references to the Colorado Revised Statutes, the Commercial Vehicle Safety Alliance (CVSA) Inspector Criteria, CVSA OOS Criteria, CVSA Bylaws, and FMCSRs to maintain consistency with controlling and authorizing legal authorities.  </w:t>
      </w:r>
    </w:p>
    <w:p w14:paraId="06665261" w14:textId="77777777" w:rsidR="00A4368B" w:rsidRDefault="00A4368B" w:rsidP="00A4368B">
      <w:pPr>
        <w:pStyle w:val="ListParagraph"/>
        <w:widowControl/>
        <w:numPr>
          <w:ilvl w:val="0"/>
          <w:numId w:val="1"/>
        </w:numPr>
        <w:spacing w:line="259" w:lineRule="auto"/>
        <w:rPr>
          <w:sz w:val="24"/>
          <w:szCs w:val="24"/>
        </w:rPr>
      </w:pPr>
      <w:r>
        <w:rPr>
          <w:sz w:val="24"/>
          <w:szCs w:val="24"/>
        </w:rPr>
        <w:t>Revising verbiage throughout the rules to improve overall readability and message clarity and</w:t>
      </w:r>
    </w:p>
    <w:p w14:paraId="1E7315B4" w14:textId="77777777" w:rsidR="00A4368B" w:rsidRPr="00A4368B" w:rsidRDefault="00A4368B" w:rsidP="00A4368B">
      <w:pPr>
        <w:pStyle w:val="BodyText"/>
        <w:numPr>
          <w:ilvl w:val="0"/>
          <w:numId w:val="1"/>
        </w:numPr>
        <w:tabs>
          <w:tab w:val="left" w:pos="841"/>
        </w:tabs>
        <w:spacing w:before="22" w:after="240"/>
        <w:rPr>
          <w:sz w:val="24"/>
        </w:rPr>
      </w:pPr>
      <w:r>
        <w:rPr>
          <w:sz w:val="24"/>
          <w:szCs w:val="24"/>
        </w:rPr>
        <w:t>Correcting minor errors in grammar, editing, spelling, formatting, and updating references to resources.</w:t>
      </w:r>
    </w:p>
    <w:p w14:paraId="4014524A" w14:textId="77777777" w:rsidR="00A4368B" w:rsidRPr="00A4368B" w:rsidRDefault="00A4368B" w:rsidP="00A4368B">
      <w:pPr>
        <w:pStyle w:val="BodyText"/>
        <w:spacing w:before="180" w:line="258" w:lineRule="auto"/>
        <w:ind w:left="120" w:right="114" w:firstLine="0"/>
        <w:jc w:val="both"/>
        <w:rPr>
          <w:sz w:val="24"/>
        </w:rPr>
      </w:pPr>
      <w:r>
        <w:rPr>
          <w:sz w:val="24"/>
        </w:rPr>
        <w:t>The General Assembly has declared</w:t>
      </w:r>
      <w:r w:rsidRPr="00A4368B">
        <w:rPr>
          <w:spacing w:val="3"/>
          <w:sz w:val="24"/>
        </w:rPr>
        <w:t xml:space="preserve"> </w:t>
      </w:r>
      <w:r w:rsidRPr="00A4368B">
        <w:rPr>
          <w:sz w:val="24"/>
        </w:rPr>
        <w:t>that</w:t>
      </w:r>
      <w:r w:rsidRPr="00A4368B">
        <w:rPr>
          <w:spacing w:val="2"/>
          <w:sz w:val="24"/>
        </w:rPr>
        <w:t xml:space="preserve"> </w:t>
      </w:r>
      <w:r w:rsidRPr="00A4368B">
        <w:rPr>
          <w:sz w:val="24"/>
        </w:rPr>
        <w:t>the</w:t>
      </w:r>
      <w:r w:rsidRPr="00A4368B">
        <w:rPr>
          <w:spacing w:val="3"/>
          <w:sz w:val="24"/>
        </w:rPr>
        <w:t xml:space="preserve"> </w:t>
      </w:r>
      <w:r w:rsidRPr="00A4368B">
        <w:rPr>
          <w:spacing w:val="-1"/>
          <w:sz w:val="24"/>
        </w:rPr>
        <w:t>safe</w:t>
      </w:r>
      <w:r w:rsidRPr="00A4368B">
        <w:rPr>
          <w:spacing w:val="3"/>
          <w:sz w:val="24"/>
        </w:rPr>
        <w:t xml:space="preserve"> </w:t>
      </w:r>
      <w:r w:rsidRPr="00A4368B">
        <w:rPr>
          <w:spacing w:val="-1"/>
          <w:sz w:val="24"/>
        </w:rPr>
        <w:t>operation</w:t>
      </w:r>
      <w:r w:rsidRPr="00A4368B">
        <w:rPr>
          <w:spacing w:val="2"/>
          <w:sz w:val="24"/>
        </w:rPr>
        <w:t xml:space="preserve"> </w:t>
      </w:r>
      <w:r w:rsidRPr="00A4368B">
        <w:rPr>
          <w:sz w:val="24"/>
        </w:rPr>
        <w:t>of</w:t>
      </w:r>
      <w:r w:rsidRPr="00A4368B">
        <w:rPr>
          <w:spacing w:val="2"/>
          <w:sz w:val="24"/>
        </w:rPr>
        <w:t xml:space="preserve"> </w:t>
      </w:r>
      <w:r w:rsidRPr="00A4368B">
        <w:rPr>
          <w:spacing w:val="-1"/>
          <w:sz w:val="24"/>
        </w:rPr>
        <w:t>commercial</w:t>
      </w:r>
      <w:r w:rsidRPr="00A4368B">
        <w:rPr>
          <w:spacing w:val="10"/>
          <w:sz w:val="24"/>
        </w:rPr>
        <w:t xml:space="preserve"> </w:t>
      </w:r>
      <w:r w:rsidRPr="00A4368B">
        <w:rPr>
          <w:spacing w:val="-1"/>
          <w:sz w:val="24"/>
        </w:rPr>
        <w:t>vehicles</w:t>
      </w:r>
      <w:r w:rsidRPr="00A4368B">
        <w:rPr>
          <w:spacing w:val="3"/>
          <w:sz w:val="24"/>
        </w:rPr>
        <w:t xml:space="preserve"> </w:t>
      </w:r>
      <w:r w:rsidRPr="00A4368B">
        <w:rPr>
          <w:sz w:val="24"/>
        </w:rPr>
        <w:t>is</w:t>
      </w:r>
      <w:r w:rsidRPr="00A4368B">
        <w:rPr>
          <w:spacing w:val="2"/>
          <w:sz w:val="24"/>
        </w:rPr>
        <w:t xml:space="preserve"> </w:t>
      </w:r>
      <w:r w:rsidRPr="00A4368B">
        <w:rPr>
          <w:sz w:val="24"/>
        </w:rPr>
        <w:t>a</w:t>
      </w:r>
      <w:r w:rsidRPr="00A4368B">
        <w:rPr>
          <w:spacing w:val="2"/>
          <w:sz w:val="24"/>
        </w:rPr>
        <w:t xml:space="preserve"> </w:t>
      </w:r>
      <w:r w:rsidRPr="00A4368B">
        <w:rPr>
          <w:spacing w:val="-1"/>
          <w:sz w:val="24"/>
        </w:rPr>
        <w:t>statewide</w:t>
      </w:r>
      <w:r w:rsidRPr="00A4368B">
        <w:rPr>
          <w:spacing w:val="-11"/>
          <w:sz w:val="24"/>
        </w:rPr>
        <w:t xml:space="preserve"> </w:t>
      </w:r>
      <w:r w:rsidRPr="00A4368B">
        <w:rPr>
          <w:spacing w:val="-1"/>
          <w:sz w:val="24"/>
        </w:rPr>
        <w:t>concern.</w:t>
      </w:r>
      <w:r w:rsidRPr="00A4368B">
        <w:rPr>
          <w:spacing w:val="30"/>
          <w:sz w:val="24"/>
        </w:rPr>
        <w:t xml:space="preserve"> </w:t>
      </w:r>
      <w:r w:rsidRPr="00A4368B">
        <w:rPr>
          <w:spacing w:val="-1"/>
          <w:sz w:val="24"/>
        </w:rPr>
        <w:t>The</w:t>
      </w:r>
      <w:r w:rsidRPr="00A4368B">
        <w:rPr>
          <w:spacing w:val="-11"/>
          <w:sz w:val="24"/>
        </w:rPr>
        <w:t xml:space="preserve"> </w:t>
      </w:r>
      <w:r w:rsidRPr="00A4368B">
        <w:rPr>
          <w:spacing w:val="-1"/>
          <w:sz w:val="24"/>
        </w:rPr>
        <w:t>absence</w:t>
      </w:r>
      <w:r w:rsidRPr="00A4368B">
        <w:rPr>
          <w:spacing w:val="-11"/>
          <w:sz w:val="24"/>
        </w:rPr>
        <w:t xml:space="preserve"> </w:t>
      </w:r>
      <w:r w:rsidRPr="00A4368B">
        <w:rPr>
          <w:sz w:val="24"/>
        </w:rPr>
        <w:t>of</w:t>
      </w:r>
      <w:r w:rsidRPr="00A4368B">
        <w:rPr>
          <w:spacing w:val="-10"/>
          <w:sz w:val="24"/>
        </w:rPr>
        <w:t xml:space="preserve"> </w:t>
      </w:r>
      <w:r w:rsidRPr="00A4368B">
        <w:rPr>
          <w:spacing w:val="-1"/>
          <w:sz w:val="24"/>
        </w:rPr>
        <w:t>rules</w:t>
      </w:r>
      <w:r w:rsidRPr="00A4368B">
        <w:rPr>
          <w:spacing w:val="-10"/>
          <w:sz w:val="24"/>
        </w:rPr>
        <w:t xml:space="preserve"> </w:t>
      </w:r>
      <w:r w:rsidRPr="00A4368B">
        <w:rPr>
          <w:spacing w:val="-1"/>
          <w:sz w:val="24"/>
        </w:rPr>
        <w:t>implemented</w:t>
      </w:r>
      <w:r w:rsidRPr="00A4368B">
        <w:rPr>
          <w:spacing w:val="-10"/>
          <w:sz w:val="24"/>
        </w:rPr>
        <w:t xml:space="preserve"> </w:t>
      </w:r>
      <w:r w:rsidRPr="00A4368B">
        <w:rPr>
          <w:sz w:val="24"/>
        </w:rPr>
        <w:t>to</w:t>
      </w:r>
      <w:r w:rsidRPr="00A4368B">
        <w:rPr>
          <w:spacing w:val="-8"/>
          <w:sz w:val="24"/>
        </w:rPr>
        <w:t xml:space="preserve"> </w:t>
      </w:r>
      <w:r w:rsidRPr="00A4368B">
        <w:rPr>
          <w:spacing w:val="-1"/>
          <w:sz w:val="24"/>
        </w:rPr>
        <w:t>carry</w:t>
      </w:r>
      <w:r w:rsidRPr="00A4368B">
        <w:rPr>
          <w:spacing w:val="-11"/>
          <w:sz w:val="24"/>
        </w:rPr>
        <w:t xml:space="preserve"> </w:t>
      </w:r>
      <w:r w:rsidRPr="00A4368B">
        <w:rPr>
          <w:sz w:val="24"/>
        </w:rPr>
        <w:t>out</w:t>
      </w:r>
      <w:r w:rsidRPr="00A4368B">
        <w:rPr>
          <w:spacing w:val="-9"/>
          <w:sz w:val="24"/>
        </w:rPr>
        <w:t xml:space="preserve"> </w:t>
      </w:r>
      <w:r w:rsidRPr="00A4368B">
        <w:rPr>
          <w:sz w:val="24"/>
        </w:rPr>
        <w:t>the</w:t>
      </w:r>
      <w:r w:rsidRPr="00A4368B">
        <w:rPr>
          <w:spacing w:val="-9"/>
          <w:sz w:val="24"/>
        </w:rPr>
        <w:t xml:space="preserve"> </w:t>
      </w:r>
      <w:r w:rsidRPr="00A4368B">
        <w:rPr>
          <w:spacing w:val="-1"/>
          <w:sz w:val="24"/>
        </w:rPr>
        <w:t>purpose</w:t>
      </w:r>
      <w:r w:rsidRPr="00A4368B">
        <w:rPr>
          <w:spacing w:val="-11"/>
          <w:sz w:val="24"/>
        </w:rPr>
        <w:t xml:space="preserve"> </w:t>
      </w:r>
      <w:r w:rsidRPr="00A4368B">
        <w:rPr>
          <w:sz w:val="24"/>
        </w:rPr>
        <w:t>of</w:t>
      </w:r>
      <w:r w:rsidRPr="00A4368B">
        <w:rPr>
          <w:spacing w:val="-10"/>
          <w:sz w:val="24"/>
        </w:rPr>
        <w:t xml:space="preserve"> </w:t>
      </w:r>
      <w:r w:rsidRPr="00A4368B">
        <w:rPr>
          <w:spacing w:val="-1"/>
          <w:sz w:val="24"/>
        </w:rPr>
        <w:t>these</w:t>
      </w:r>
      <w:r w:rsidRPr="00A4368B">
        <w:rPr>
          <w:spacing w:val="-9"/>
          <w:sz w:val="24"/>
        </w:rPr>
        <w:t xml:space="preserve"> </w:t>
      </w:r>
      <w:r w:rsidRPr="00A4368B">
        <w:rPr>
          <w:spacing w:val="-1"/>
          <w:sz w:val="24"/>
        </w:rPr>
        <w:t>statutes</w:t>
      </w:r>
      <w:r w:rsidRPr="00A4368B">
        <w:rPr>
          <w:spacing w:val="-12"/>
          <w:sz w:val="24"/>
        </w:rPr>
        <w:t xml:space="preserve"> </w:t>
      </w:r>
      <w:r w:rsidRPr="00A4368B">
        <w:rPr>
          <w:sz w:val="24"/>
        </w:rPr>
        <w:t>would</w:t>
      </w:r>
      <w:r w:rsidRPr="00A4368B">
        <w:rPr>
          <w:spacing w:val="49"/>
          <w:sz w:val="24"/>
        </w:rPr>
        <w:t xml:space="preserve"> </w:t>
      </w:r>
      <w:r w:rsidRPr="00A4368B">
        <w:rPr>
          <w:spacing w:val="-1"/>
          <w:sz w:val="24"/>
        </w:rPr>
        <w:t>be</w:t>
      </w:r>
      <w:r w:rsidRPr="00A4368B">
        <w:rPr>
          <w:sz w:val="24"/>
        </w:rPr>
        <w:t xml:space="preserve"> </w:t>
      </w:r>
      <w:r w:rsidRPr="00A4368B">
        <w:rPr>
          <w:spacing w:val="-1"/>
          <w:sz w:val="24"/>
        </w:rPr>
        <w:t>contrary</w:t>
      </w:r>
      <w:r w:rsidRPr="00A4368B">
        <w:rPr>
          <w:spacing w:val="-2"/>
          <w:sz w:val="24"/>
        </w:rPr>
        <w:t xml:space="preserve"> </w:t>
      </w:r>
      <w:r w:rsidRPr="00A4368B">
        <w:rPr>
          <w:spacing w:val="-1"/>
          <w:sz w:val="24"/>
        </w:rPr>
        <w:t>to</w:t>
      </w:r>
      <w:r w:rsidRPr="00A4368B">
        <w:rPr>
          <w:spacing w:val="1"/>
          <w:sz w:val="24"/>
        </w:rPr>
        <w:t xml:space="preserve"> </w:t>
      </w:r>
      <w:r w:rsidRPr="00A4368B">
        <w:rPr>
          <w:spacing w:val="-1"/>
          <w:sz w:val="24"/>
        </w:rPr>
        <w:t>public</w:t>
      </w:r>
      <w:r w:rsidRPr="00A4368B">
        <w:rPr>
          <w:sz w:val="24"/>
        </w:rPr>
        <w:t xml:space="preserve"> </w:t>
      </w:r>
      <w:r w:rsidRPr="00A4368B">
        <w:rPr>
          <w:spacing w:val="-1"/>
          <w:sz w:val="24"/>
        </w:rPr>
        <w:t>health,</w:t>
      </w:r>
      <w:r w:rsidRPr="00A4368B">
        <w:rPr>
          <w:sz w:val="24"/>
        </w:rPr>
        <w:t xml:space="preserve"> </w:t>
      </w:r>
      <w:r w:rsidRPr="00A4368B">
        <w:rPr>
          <w:spacing w:val="-1"/>
          <w:sz w:val="24"/>
        </w:rPr>
        <w:t>peace,</w:t>
      </w:r>
      <w:r w:rsidRPr="00A4368B">
        <w:rPr>
          <w:spacing w:val="-3"/>
          <w:sz w:val="24"/>
        </w:rPr>
        <w:t xml:space="preserve"> </w:t>
      </w:r>
      <w:r w:rsidRPr="00A4368B">
        <w:rPr>
          <w:spacing w:val="-1"/>
          <w:sz w:val="24"/>
        </w:rPr>
        <w:t>safety,</w:t>
      </w:r>
      <w:r w:rsidRPr="00A4368B">
        <w:rPr>
          <w:spacing w:val="-2"/>
          <w:sz w:val="24"/>
        </w:rPr>
        <w:t xml:space="preserve"> </w:t>
      </w:r>
      <w:r w:rsidRPr="00A4368B">
        <w:rPr>
          <w:sz w:val="24"/>
        </w:rPr>
        <w:t>and</w:t>
      </w:r>
      <w:r w:rsidRPr="00A4368B">
        <w:rPr>
          <w:spacing w:val="-2"/>
          <w:sz w:val="24"/>
        </w:rPr>
        <w:t xml:space="preserve"> </w:t>
      </w:r>
      <w:r w:rsidRPr="00A4368B">
        <w:rPr>
          <w:spacing w:val="-1"/>
          <w:sz w:val="24"/>
        </w:rPr>
        <w:t>the</w:t>
      </w:r>
      <w:r w:rsidRPr="00A4368B">
        <w:rPr>
          <w:spacing w:val="-2"/>
          <w:sz w:val="24"/>
        </w:rPr>
        <w:t xml:space="preserve"> </w:t>
      </w:r>
      <w:r w:rsidRPr="00A4368B">
        <w:rPr>
          <w:spacing w:val="-1"/>
          <w:sz w:val="24"/>
        </w:rPr>
        <w:t>welfare</w:t>
      </w:r>
      <w:r w:rsidRPr="00A4368B">
        <w:rPr>
          <w:spacing w:val="-2"/>
          <w:sz w:val="24"/>
        </w:rPr>
        <w:t xml:space="preserve"> </w:t>
      </w:r>
      <w:r w:rsidRPr="00A4368B">
        <w:rPr>
          <w:sz w:val="24"/>
        </w:rPr>
        <w:t xml:space="preserve">of </w:t>
      </w:r>
      <w:r w:rsidRPr="00A4368B">
        <w:rPr>
          <w:spacing w:val="-2"/>
          <w:sz w:val="24"/>
        </w:rPr>
        <w:t>the</w:t>
      </w:r>
      <w:r w:rsidRPr="00A4368B">
        <w:rPr>
          <w:sz w:val="24"/>
        </w:rPr>
        <w:t xml:space="preserve"> </w:t>
      </w:r>
      <w:r w:rsidRPr="00A4368B">
        <w:rPr>
          <w:spacing w:val="-1"/>
          <w:sz w:val="24"/>
        </w:rPr>
        <w:t>state</w:t>
      </w:r>
      <w:r w:rsidRPr="00A4368B">
        <w:rPr>
          <w:spacing w:val="-2"/>
          <w:sz w:val="24"/>
        </w:rPr>
        <w:t xml:space="preserve"> </w:t>
      </w:r>
      <w:r w:rsidRPr="00A4368B">
        <w:rPr>
          <w:sz w:val="24"/>
        </w:rPr>
        <w:t>of</w:t>
      </w:r>
      <w:r w:rsidRPr="00A4368B">
        <w:rPr>
          <w:spacing w:val="-3"/>
          <w:sz w:val="24"/>
        </w:rPr>
        <w:t xml:space="preserve"> </w:t>
      </w:r>
      <w:r w:rsidRPr="00A4368B">
        <w:rPr>
          <w:spacing w:val="-1"/>
          <w:sz w:val="24"/>
        </w:rPr>
        <w:t>Colorado.</w:t>
      </w:r>
      <w:r w:rsidRPr="00A4368B">
        <w:rPr>
          <w:sz w:val="24"/>
        </w:rPr>
        <w:t xml:space="preserve">  </w:t>
      </w:r>
      <w:r w:rsidRPr="00A4368B">
        <w:rPr>
          <w:spacing w:val="-1"/>
          <w:sz w:val="24"/>
        </w:rPr>
        <w:t>For</w:t>
      </w:r>
      <w:r w:rsidRPr="00A4368B">
        <w:rPr>
          <w:spacing w:val="-2"/>
          <w:sz w:val="24"/>
        </w:rPr>
        <w:t xml:space="preserve"> </w:t>
      </w:r>
      <w:r w:rsidRPr="00A4368B">
        <w:rPr>
          <w:sz w:val="24"/>
        </w:rPr>
        <w:t>these</w:t>
      </w:r>
      <w:r w:rsidRPr="00A4368B">
        <w:rPr>
          <w:spacing w:val="-2"/>
          <w:sz w:val="24"/>
        </w:rPr>
        <w:t xml:space="preserve"> </w:t>
      </w:r>
      <w:r w:rsidRPr="00A4368B">
        <w:rPr>
          <w:spacing w:val="-1"/>
          <w:sz w:val="24"/>
        </w:rPr>
        <w:t>reasons,</w:t>
      </w:r>
      <w:r w:rsidRPr="00A4368B">
        <w:rPr>
          <w:spacing w:val="-3"/>
          <w:sz w:val="24"/>
        </w:rPr>
        <w:t xml:space="preserve"> </w:t>
      </w:r>
      <w:r w:rsidRPr="00A4368B">
        <w:rPr>
          <w:sz w:val="24"/>
        </w:rPr>
        <w:t>it</w:t>
      </w:r>
      <w:r>
        <w:rPr>
          <w:spacing w:val="61"/>
          <w:sz w:val="24"/>
        </w:rPr>
        <w:t xml:space="preserve"> </w:t>
      </w:r>
      <w:r w:rsidRPr="00A4368B">
        <w:rPr>
          <w:sz w:val="24"/>
        </w:rPr>
        <w:t xml:space="preserve">is </w:t>
      </w:r>
      <w:r w:rsidRPr="00A4368B">
        <w:rPr>
          <w:spacing w:val="-1"/>
          <w:sz w:val="24"/>
        </w:rPr>
        <w:t>necessary</w:t>
      </w:r>
      <w:r w:rsidRPr="00A4368B">
        <w:rPr>
          <w:spacing w:val="-2"/>
          <w:sz w:val="24"/>
        </w:rPr>
        <w:t xml:space="preserve"> </w:t>
      </w:r>
      <w:r w:rsidRPr="00A4368B">
        <w:rPr>
          <w:sz w:val="24"/>
        </w:rPr>
        <w:t>that</w:t>
      </w:r>
      <w:r w:rsidRPr="00A4368B">
        <w:rPr>
          <w:spacing w:val="-2"/>
          <w:sz w:val="24"/>
        </w:rPr>
        <w:t xml:space="preserve"> </w:t>
      </w:r>
      <w:r w:rsidRPr="00A4368B">
        <w:rPr>
          <w:spacing w:val="-1"/>
          <w:sz w:val="24"/>
        </w:rPr>
        <w:t>these</w:t>
      </w:r>
      <w:r w:rsidRPr="00A4368B">
        <w:rPr>
          <w:spacing w:val="-2"/>
          <w:sz w:val="24"/>
        </w:rPr>
        <w:t xml:space="preserve"> </w:t>
      </w:r>
      <w:r w:rsidRPr="00A4368B">
        <w:rPr>
          <w:spacing w:val="-1"/>
          <w:sz w:val="24"/>
        </w:rPr>
        <w:t>rules,</w:t>
      </w:r>
      <w:r w:rsidRPr="00A4368B">
        <w:rPr>
          <w:sz w:val="24"/>
        </w:rPr>
        <w:t xml:space="preserve"> </w:t>
      </w:r>
      <w:r>
        <w:rPr>
          <w:spacing w:val="-1"/>
          <w:sz w:val="24"/>
        </w:rPr>
        <w:t>including</w:t>
      </w:r>
      <w:r w:rsidRPr="00A4368B">
        <w:rPr>
          <w:spacing w:val="-3"/>
          <w:sz w:val="24"/>
        </w:rPr>
        <w:t xml:space="preserve"> </w:t>
      </w:r>
      <w:r w:rsidRPr="00A4368B">
        <w:rPr>
          <w:spacing w:val="-1"/>
          <w:sz w:val="24"/>
        </w:rPr>
        <w:t>the</w:t>
      </w:r>
      <w:r w:rsidRPr="00A4368B">
        <w:rPr>
          <w:spacing w:val="-2"/>
          <w:sz w:val="24"/>
        </w:rPr>
        <w:t xml:space="preserve"> </w:t>
      </w:r>
      <w:r w:rsidRPr="00A4368B">
        <w:rPr>
          <w:spacing w:val="-1"/>
          <w:sz w:val="24"/>
        </w:rPr>
        <w:t>amendments</w:t>
      </w:r>
      <w:r w:rsidRPr="00A4368B">
        <w:rPr>
          <w:sz w:val="24"/>
        </w:rPr>
        <w:t xml:space="preserve"> </w:t>
      </w:r>
      <w:r w:rsidRPr="00A4368B">
        <w:rPr>
          <w:spacing w:val="-1"/>
          <w:sz w:val="24"/>
        </w:rPr>
        <w:t>proposed,</w:t>
      </w:r>
      <w:r w:rsidRPr="00A4368B">
        <w:rPr>
          <w:spacing w:val="-3"/>
          <w:sz w:val="24"/>
        </w:rPr>
        <w:t xml:space="preserve"> </w:t>
      </w:r>
      <w:r w:rsidRPr="00A4368B">
        <w:rPr>
          <w:spacing w:val="-1"/>
          <w:sz w:val="24"/>
        </w:rPr>
        <w:t>be</w:t>
      </w:r>
      <w:r w:rsidRPr="00A4368B">
        <w:rPr>
          <w:sz w:val="24"/>
        </w:rPr>
        <w:t xml:space="preserve"> </w:t>
      </w:r>
      <w:r w:rsidRPr="00A4368B">
        <w:rPr>
          <w:spacing w:val="-1"/>
          <w:sz w:val="24"/>
        </w:rPr>
        <w:t>adopted.</w:t>
      </w:r>
    </w:p>
    <w:p w14:paraId="66A5A7B0" w14:textId="77777777" w:rsidR="003D5C0E" w:rsidRDefault="003D5C0E"/>
    <w:sectPr w:rsidR="003D5C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048DB"/>
    <w:multiLevelType w:val="hybridMultilevel"/>
    <w:tmpl w:val="CD7C9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7D4197"/>
    <w:multiLevelType w:val="hybridMultilevel"/>
    <w:tmpl w:val="D94279DE"/>
    <w:lvl w:ilvl="0" w:tplc="AE4C14B4">
      <w:start w:val="1"/>
      <w:numFmt w:val="bullet"/>
      <w:lvlText w:val=""/>
      <w:lvlJc w:val="left"/>
      <w:pPr>
        <w:ind w:left="840" w:hanging="360"/>
      </w:pPr>
      <w:rPr>
        <w:rFonts w:ascii="Symbol" w:eastAsia="Symbol" w:hAnsi="Symbol" w:hint="default"/>
        <w:sz w:val="22"/>
        <w:szCs w:val="22"/>
      </w:rPr>
    </w:lvl>
    <w:lvl w:ilvl="1" w:tplc="8614344E">
      <w:start w:val="1"/>
      <w:numFmt w:val="bullet"/>
      <w:lvlText w:val="•"/>
      <w:lvlJc w:val="left"/>
      <w:pPr>
        <w:ind w:left="1716" w:hanging="360"/>
      </w:pPr>
      <w:rPr>
        <w:rFonts w:hint="default"/>
      </w:rPr>
    </w:lvl>
    <w:lvl w:ilvl="2" w:tplc="0F6C083E">
      <w:start w:val="1"/>
      <w:numFmt w:val="bullet"/>
      <w:lvlText w:val="•"/>
      <w:lvlJc w:val="left"/>
      <w:pPr>
        <w:ind w:left="2592" w:hanging="360"/>
      </w:pPr>
      <w:rPr>
        <w:rFonts w:hint="default"/>
      </w:rPr>
    </w:lvl>
    <w:lvl w:ilvl="3" w:tplc="B512E07A">
      <w:start w:val="1"/>
      <w:numFmt w:val="bullet"/>
      <w:lvlText w:val="•"/>
      <w:lvlJc w:val="left"/>
      <w:pPr>
        <w:ind w:left="3468" w:hanging="360"/>
      </w:pPr>
      <w:rPr>
        <w:rFonts w:hint="default"/>
      </w:rPr>
    </w:lvl>
    <w:lvl w:ilvl="4" w:tplc="3F7864C0">
      <w:start w:val="1"/>
      <w:numFmt w:val="bullet"/>
      <w:lvlText w:val="•"/>
      <w:lvlJc w:val="left"/>
      <w:pPr>
        <w:ind w:left="4344" w:hanging="360"/>
      </w:pPr>
      <w:rPr>
        <w:rFonts w:hint="default"/>
      </w:rPr>
    </w:lvl>
    <w:lvl w:ilvl="5" w:tplc="9C7226C2">
      <w:start w:val="1"/>
      <w:numFmt w:val="bullet"/>
      <w:lvlText w:val="•"/>
      <w:lvlJc w:val="left"/>
      <w:pPr>
        <w:ind w:left="5220" w:hanging="360"/>
      </w:pPr>
      <w:rPr>
        <w:rFonts w:hint="default"/>
      </w:rPr>
    </w:lvl>
    <w:lvl w:ilvl="6" w:tplc="3E3E238A">
      <w:start w:val="1"/>
      <w:numFmt w:val="bullet"/>
      <w:lvlText w:val="•"/>
      <w:lvlJc w:val="left"/>
      <w:pPr>
        <w:ind w:left="6096" w:hanging="360"/>
      </w:pPr>
      <w:rPr>
        <w:rFonts w:hint="default"/>
      </w:rPr>
    </w:lvl>
    <w:lvl w:ilvl="7" w:tplc="BE740A8E">
      <w:start w:val="1"/>
      <w:numFmt w:val="bullet"/>
      <w:lvlText w:val="•"/>
      <w:lvlJc w:val="left"/>
      <w:pPr>
        <w:ind w:left="6972" w:hanging="360"/>
      </w:pPr>
      <w:rPr>
        <w:rFonts w:hint="default"/>
      </w:rPr>
    </w:lvl>
    <w:lvl w:ilvl="8" w:tplc="4726EE70">
      <w:start w:val="1"/>
      <w:numFmt w:val="bullet"/>
      <w:lvlText w:val="•"/>
      <w:lvlJc w:val="left"/>
      <w:pPr>
        <w:ind w:left="7848"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68B"/>
    <w:rsid w:val="00106675"/>
    <w:rsid w:val="00295821"/>
    <w:rsid w:val="00357DE9"/>
    <w:rsid w:val="003D5C0E"/>
    <w:rsid w:val="00411CA7"/>
    <w:rsid w:val="00731D98"/>
    <w:rsid w:val="00873075"/>
    <w:rsid w:val="00A43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8ACE6"/>
  <w15:chartTrackingRefBased/>
  <w15:docId w15:val="{099E8C84-09F6-4FFC-811E-811D13C5C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368B"/>
    <w:pPr>
      <w:widowControl w:val="0"/>
      <w:spacing w:after="0" w:line="240" w:lineRule="auto"/>
    </w:pPr>
    <w:rPr>
      <w14:ligatures w14:val="standardContextual"/>
    </w:rPr>
  </w:style>
  <w:style w:type="paragraph" w:styleId="Heading1">
    <w:name w:val="heading 1"/>
    <w:basedOn w:val="Normal"/>
    <w:next w:val="Normal"/>
    <w:link w:val="Heading1Char"/>
    <w:uiPriority w:val="9"/>
    <w:qFormat/>
    <w:rsid w:val="0010667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0667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0667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4368B"/>
    <w:pPr>
      <w:ind w:left="2201" w:hanging="721"/>
    </w:pPr>
    <w:rPr>
      <w:rFonts w:ascii="Calibri" w:eastAsia="Calibri" w:hAnsi="Calibri"/>
    </w:rPr>
  </w:style>
  <w:style w:type="character" w:customStyle="1" w:styleId="BodyTextChar">
    <w:name w:val="Body Text Char"/>
    <w:basedOn w:val="DefaultParagraphFont"/>
    <w:link w:val="BodyText"/>
    <w:uiPriority w:val="1"/>
    <w:rsid w:val="00A4368B"/>
    <w:rPr>
      <w:rFonts w:ascii="Calibri" w:eastAsia="Calibri" w:hAnsi="Calibri"/>
      <w14:ligatures w14:val="standardContextual"/>
    </w:rPr>
  </w:style>
  <w:style w:type="paragraph" w:styleId="ListParagraph">
    <w:name w:val="List Paragraph"/>
    <w:basedOn w:val="Normal"/>
    <w:uiPriority w:val="34"/>
    <w:qFormat/>
    <w:rsid w:val="00A4368B"/>
    <w:pPr>
      <w:ind w:left="720"/>
      <w:contextualSpacing/>
    </w:pPr>
  </w:style>
  <w:style w:type="character" w:customStyle="1" w:styleId="Heading1Char">
    <w:name w:val="Heading 1 Char"/>
    <w:basedOn w:val="DefaultParagraphFont"/>
    <w:link w:val="Heading1"/>
    <w:uiPriority w:val="9"/>
    <w:rsid w:val="00106675"/>
    <w:rPr>
      <w:rFonts w:asciiTheme="majorHAnsi" w:eastAsiaTheme="majorEastAsia" w:hAnsiTheme="majorHAnsi" w:cstheme="majorBidi"/>
      <w:color w:val="2F5496" w:themeColor="accent1" w:themeShade="BF"/>
      <w:sz w:val="32"/>
      <w:szCs w:val="32"/>
      <w14:ligatures w14:val="standardContextual"/>
    </w:rPr>
  </w:style>
  <w:style w:type="character" w:customStyle="1" w:styleId="Heading2Char">
    <w:name w:val="Heading 2 Char"/>
    <w:basedOn w:val="DefaultParagraphFont"/>
    <w:link w:val="Heading2"/>
    <w:uiPriority w:val="9"/>
    <w:rsid w:val="00106675"/>
    <w:rPr>
      <w:rFonts w:asciiTheme="majorHAnsi" w:eastAsiaTheme="majorEastAsia" w:hAnsiTheme="majorHAnsi" w:cstheme="majorBidi"/>
      <w:color w:val="2F5496" w:themeColor="accent1" w:themeShade="BF"/>
      <w:sz w:val="26"/>
      <w:szCs w:val="26"/>
      <w14:ligatures w14:val="standardContextual"/>
    </w:rPr>
  </w:style>
  <w:style w:type="character" w:customStyle="1" w:styleId="Heading3Char">
    <w:name w:val="Heading 3 Char"/>
    <w:basedOn w:val="DefaultParagraphFont"/>
    <w:link w:val="Heading3"/>
    <w:uiPriority w:val="9"/>
    <w:rsid w:val="00106675"/>
    <w:rPr>
      <w:rFonts w:asciiTheme="majorHAnsi" w:eastAsiaTheme="majorEastAsia" w:hAnsiTheme="majorHAnsi" w:cstheme="majorBidi"/>
      <w:color w:val="1F3763" w:themeColor="accent1" w:themeShade="7F"/>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Statement of Basis, Statutory Authority and Purpose for 8 CCR 1507-1, the Minimum Standards for the Operation of Commerical Vehicles</vt:lpstr>
    </vt:vector>
  </TitlesOfParts>
  <Company>Colorado Department of Public Safety</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Basis, Statutory Authority and Purpose for 8 CCR 1507-1, the Minimum Standards for the Operation of Commerical Vehicles</dc:title>
  <dc:subject/>
  <dc:creator>Angelina Page</dc:creator>
  <cp:keywords/>
  <dc:description/>
  <cp:lastModifiedBy>Christine Moreno</cp:lastModifiedBy>
  <cp:revision>2</cp:revision>
  <cp:lastPrinted>2024-12-20T20:53:00Z</cp:lastPrinted>
  <dcterms:created xsi:type="dcterms:W3CDTF">2024-12-20T20:53:00Z</dcterms:created>
  <dcterms:modified xsi:type="dcterms:W3CDTF">2024-12-20T20:53:00Z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1dedb579-63cb-4c24-af84-d3c362a108eb</vt:lpwstr>
  </property>
</Properties>
</file>