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rPr>
          <w:rFonts w:ascii="Times New Roman" w:eastAsia="Times New Roman" w:hAnsi="Times New Roman" w:cs="Times New Roman"/>
          <w:color w:val="000000"/>
          <w:sz w:val="20"/>
          <w:szCs w:val="20"/>
        </w:rPr>
      </w:pPr>
    </w:p>
    <w:p w:rsidR="00C57A0F" w:rsidRDefault="00C57A0F">
      <w:pPr>
        <w:pBdr>
          <w:top w:val="nil"/>
          <w:left w:val="nil"/>
          <w:bottom w:val="nil"/>
          <w:right w:val="nil"/>
          <w:between w:val="nil"/>
        </w:pBdr>
        <w:spacing w:before="7"/>
        <w:rPr>
          <w:rFonts w:ascii="Times New Roman" w:eastAsia="Times New Roman" w:hAnsi="Times New Roman" w:cs="Times New Roman"/>
          <w:color w:val="000000"/>
          <w:sz w:val="16"/>
          <w:szCs w:val="16"/>
        </w:rPr>
      </w:pPr>
    </w:p>
    <w:p w:rsidR="00C57A0F" w:rsidRDefault="007203B1">
      <w:pPr>
        <w:pStyle w:val="Title"/>
        <w:jc w:val="center"/>
      </w:pPr>
      <w:r>
        <w:t>2023 Regulatory Agenda Report</w:t>
      </w:r>
    </w:p>
    <w:p w:rsidR="00C57A0F" w:rsidRDefault="00C57A0F">
      <w:pPr>
        <w:pBdr>
          <w:top w:val="nil"/>
          <w:left w:val="nil"/>
          <w:bottom w:val="nil"/>
          <w:right w:val="nil"/>
          <w:between w:val="nil"/>
        </w:pBdr>
        <w:rPr>
          <w:rFonts w:ascii="Arial" w:eastAsia="Arial" w:hAnsi="Arial" w:cs="Arial"/>
          <w:color w:val="000000"/>
          <w:sz w:val="20"/>
          <w:szCs w:val="20"/>
        </w:rPr>
      </w:pPr>
    </w:p>
    <w:p w:rsidR="00C57A0F" w:rsidRDefault="00C57A0F">
      <w:pPr>
        <w:pBdr>
          <w:top w:val="nil"/>
          <w:left w:val="nil"/>
          <w:bottom w:val="nil"/>
          <w:right w:val="nil"/>
          <w:between w:val="nil"/>
        </w:pBdr>
        <w:rPr>
          <w:rFonts w:ascii="Arial" w:eastAsia="Arial" w:hAnsi="Arial" w:cs="Arial"/>
          <w:color w:val="000000"/>
          <w:sz w:val="20"/>
          <w:szCs w:val="20"/>
        </w:rPr>
      </w:pPr>
    </w:p>
    <w:p w:rsidR="00C57A0F" w:rsidRDefault="00C57A0F">
      <w:pPr>
        <w:pBdr>
          <w:top w:val="nil"/>
          <w:left w:val="nil"/>
          <w:bottom w:val="nil"/>
          <w:right w:val="nil"/>
          <w:between w:val="nil"/>
        </w:pBdr>
        <w:rPr>
          <w:rFonts w:ascii="Arial" w:eastAsia="Arial" w:hAnsi="Arial" w:cs="Arial"/>
          <w:color w:val="000000"/>
          <w:sz w:val="20"/>
          <w:szCs w:val="20"/>
        </w:rPr>
      </w:pPr>
    </w:p>
    <w:p w:rsidR="00C57A0F" w:rsidRDefault="007203B1">
      <w:pPr>
        <w:pBdr>
          <w:top w:val="nil"/>
          <w:left w:val="nil"/>
          <w:bottom w:val="nil"/>
          <w:right w:val="nil"/>
          <w:between w:val="nil"/>
        </w:pBdr>
        <w:spacing w:before="5"/>
        <w:rPr>
          <w:rFonts w:ascii="Arial" w:eastAsia="Arial" w:hAnsi="Arial" w:cs="Arial"/>
          <w:color w:val="000000"/>
          <w:sz w:val="13"/>
          <w:szCs w:val="13"/>
        </w:rPr>
        <w:sectPr w:rsidR="00C57A0F">
          <w:headerReference w:type="default" r:id="rId8"/>
          <w:footerReference w:type="default" r:id="rId9"/>
          <w:pgSz w:w="15840" w:h="12240" w:orient="landscape"/>
          <w:pgMar w:top="1140" w:right="600" w:bottom="280" w:left="600" w:header="720" w:footer="720" w:gutter="0"/>
          <w:pgNumType w:start="1"/>
          <w:cols w:space="720"/>
          <w:titlePg/>
        </w:sectPr>
      </w:pPr>
      <w:r>
        <w:rPr>
          <w:noProof/>
        </w:rPr>
        <w:drawing>
          <wp:anchor distT="0" distB="0" distL="0" distR="0" simplePos="0" relativeHeight="251658240" behindDoc="0" locked="0" layoutInCell="1" hidden="0" allowOverlap="1">
            <wp:simplePos x="0" y="0"/>
            <wp:positionH relativeFrom="column">
              <wp:posOffset>1278890</wp:posOffset>
            </wp:positionH>
            <wp:positionV relativeFrom="paragraph">
              <wp:posOffset>151130</wp:posOffset>
            </wp:positionV>
            <wp:extent cx="7351955" cy="1266158"/>
            <wp:effectExtent l="0" t="0" r="0" b="0"/>
            <wp:wrapTopAndBottom distT="0" distB="0"/>
            <wp:docPr id="2" name="image1.png" descr="Colorado Department of Public Safety logo&#10;"/>
            <wp:cNvGraphicFramePr/>
            <a:graphic xmlns:a="http://schemas.openxmlformats.org/drawingml/2006/main">
              <a:graphicData uri="http://schemas.openxmlformats.org/drawingml/2006/picture">
                <pic:pic xmlns:pic="http://schemas.openxmlformats.org/drawingml/2006/picture">
                  <pic:nvPicPr>
                    <pic:cNvPr id="0" name="image1.png" descr="Colorado Department of Public Safety logo&#10;"/>
                    <pic:cNvPicPr preferRelativeResize="0"/>
                  </pic:nvPicPr>
                  <pic:blipFill>
                    <a:blip r:embed="rId10"/>
                    <a:srcRect/>
                    <a:stretch>
                      <a:fillRect/>
                    </a:stretch>
                  </pic:blipFill>
                  <pic:spPr>
                    <a:xfrm>
                      <a:off x="0" y="0"/>
                      <a:ext cx="7351955" cy="1266158"/>
                    </a:xfrm>
                    <a:prstGeom prst="rect">
                      <a:avLst/>
                    </a:prstGeom>
                    <a:ln/>
                  </pic:spPr>
                </pic:pic>
              </a:graphicData>
            </a:graphic>
          </wp:anchor>
        </w:drawing>
      </w:r>
    </w:p>
    <w:p w:rsidR="00C57A0F" w:rsidRDefault="00C57A0F">
      <w:pPr>
        <w:pBdr>
          <w:top w:val="nil"/>
          <w:left w:val="nil"/>
          <w:bottom w:val="nil"/>
          <w:right w:val="nil"/>
          <w:between w:val="nil"/>
        </w:pBdr>
        <w:rPr>
          <w:color w:val="000000"/>
          <w:sz w:val="20"/>
          <w:szCs w:val="20"/>
        </w:rPr>
      </w:pPr>
    </w:p>
    <w:p w:rsidR="00C57A0F" w:rsidRDefault="00C57A0F">
      <w:pPr>
        <w:pBdr>
          <w:top w:val="nil"/>
          <w:left w:val="nil"/>
          <w:bottom w:val="nil"/>
          <w:right w:val="nil"/>
          <w:between w:val="nil"/>
        </w:pBdr>
        <w:spacing w:before="9"/>
        <w:rPr>
          <w:color w:val="000000"/>
          <w:sz w:val="24"/>
          <w:szCs w:val="24"/>
        </w:rPr>
      </w:pPr>
    </w:p>
    <w:p w:rsidR="00C57A0F" w:rsidRDefault="007203B1">
      <w:pPr>
        <w:pStyle w:val="Heading1"/>
      </w:pPr>
      <w:r>
        <w:t>Overview</w:t>
      </w:r>
    </w:p>
    <w:p w:rsidR="00C57A0F" w:rsidRDefault="007203B1">
      <w:pPr>
        <w:pBdr>
          <w:top w:val="nil"/>
          <w:left w:val="nil"/>
          <w:bottom w:val="nil"/>
          <w:right w:val="nil"/>
          <w:between w:val="nil"/>
        </w:pBdr>
        <w:rPr>
          <w:color w:val="000000"/>
          <w:sz w:val="24"/>
          <w:szCs w:val="24"/>
        </w:rPr>
      </w:pPr>
      <w:r>
        <w:rPr>
          <w:color w:val="000000"/>
          <w:sz w:val="24"/>
          <w:szCs w:val="24"/>
        </w:rPr>
        <w:t>Pursuant to Colo</w:t>
      </w:r>
      <w:r w:rsidR="000336F8">
        <w:rPr>
          <w:color w:val="000000"/>
          <w:sz w:val="24"/>
          <w:szCs w:val="24"/>
        </w:rPr>
        <w:t>rado</w:t>
      </w:r>
      <w:r>
        <w:rPr>
          <w:color w:val="000000"/>
          <w:sz w:val="24"/>
          <w:szCs w:val="24"/>
        </w:rPr>
        <w:t xml:space="preserve"> Rev</w:t>
      </w:r>
      <w:r w:rsidR="000336F8">
        <w:rPr>
          <w:color w:val="000000"/>
          <w:sz w:val="24"/>
          <w:szCs w:val="24"/>
        </w:rPr>
        <w:t>ised</w:t>
      </w:r>
      <w:r>
        <w:rPr>
          <w:color w:val="000000"/>
          <w:sz w:val="24"/>
          <w:szCs w:val="24"/>
        </w:rPr>
        <w:t xml:space="preserve"> Stat</w:t>
      </w:r>
      <w:r w:rsidR="000336F8">
        <w:rPr>
          <w:color w:val="000000"/>
          <w:sz w:val="24"/>
          <w:szCs w:val="24"/>
        </w:rPr>
        <w:t>ute</w:t>
      </w:r>
      <w:r>
        <w:rPr>
          <w:color w:val="000000"/>
          <w:sz w:val="24"/>
          <w:szCs w:val="24"/>
        </w:rPr>
        <w:t xml:space="preserve"> §2-7-203(4), the Department of Public Safety (CDPS) submits the following 202</w:t>
      </w:r>
      <w:r>
        <w:rPr>
          <w:sz w:val="24"/>
          <w:szCs w:val="24"/>
        </w:rPr>
        <w:t>3</w:t>
      </w:r>
      <w:r>
        <w:rPr>
          <w:color w:val="000000"/>
          <w:sz w:val="24"/>
          <w:szCs w:val="24"/>
        </w:rPr>
        <w:t xml:space="preserve"> Regulatory Agenda Report. Pursuant to statutory requirements concerning the Department’s Regulatory Agenda, this Regulatory Agenda Report details the results of the past year’s rules review activity, including the results of mandatory rule reviews conduct</w:t>
      </w:r>
      <w:r>
        <w:rPr>
          <w:color w:val="000000"/>
          <w:sz w:val="24"/>
          <w:szCs w:val="24"/>
        </w:rPr>
        <w:t>ed under C</w:t>
      </w:r>
      <w:r w:rsidR="000336F8">
        <w:rPr>
          <w:color w:val="000000"/>
          <w:sz w:val="24"/>
          <w:szCs w:val="24"/>
        </w:rPr>
        <w:t xml:space="preserve">.R.S. </w:t>
      </w:r>
      <w:r>
        <w:rPr>
          <w:color w:val="000000"/>
          <w:sz w:val="24"/>
          <w:szCs w:val="24"/>
        </w:rPr>
        <w:t xml:space="preserve">§24-4-103.3(4) as part of the Department’s </w:t>
      </w:r>
      <w:r w:rsidR="000336F8">
        <w:rPr>
          <w:color w:val="000000"/>
          <w:sz w:val="24"/>
          <w:szCs w:val="24"/>
        </w:rPr>
        <w:t>r</w:t>
      </w:r>
      <w:r>
        <w:rPr>
          <w:color w:val="000000"/>
          <w:sz w:val="24"/>
          <w:szCs w:val="24"/>
        </w:rPr>
        <w:t xml:space="preserve">egulatory </w:t>
      </w:r>
      <w:r w:rsidR="000336F8">
        <w:rPr>
          <w:color w:val="000000"/>
          <w:sz w:val="24"/>
          <w:szCs w:val="24"/>
        </w:rPr>
        <w:t>e</w:t>
      </w:r>
      <w:r>
        <w:rPr>
          <w:color w:val="000000"/>
          <w:sz w:val="24"/>
          <w:szCs w:val="24"/>
        </w:rPr>
        <w:t xml:space="preserve">fficiencies </w:t>
      </w:r>
      <w:r w:rsidR="000336F8">
        <w:rPr>
          <w:color w:val="000000"/>
          <w:sz w:val="24"/>
          <w:szCs w:val="24"/>
        </w:rPr>
        <w:t>r</w:t>
      </w:r>
      <w:r>
        <w:rPr>
          <w:color w:val="000000"/>
          <w:sz w:val="24"/>
          <w:szCs w:val="24"/>
        </w:rPr>
        <w:t>eviews.</w:t>
      </w:r>
    </w:p>
    <w:p w:rsidR="00C57A0F" w:rsidRDefault="00C57A0F">
      <w:pPr>
        <w:pBdr>
          <w:top w:val="nil"/>
          <w:left w:val="nil"/>
          <w:bottom w:val="nil"/>
          <w:right w:val="nil"/>
          <w:between w:val="nil"/>
        </w:pBdr>
        <w:rPr>
          <w:color w:val="000000"/>
          <w:sz w:val="24"/>
          <w:szCs w:val="24"/>
        </w:rPr>
      </w:pPr>
    </w:p>
    <w:p w:rsidR="00C57A0F" w:rsidRDefault="007203B1">
      <w:pPr>
        <w:pBdr>
          <w:top w:val="nil"/>
          <w:left w:val="nil"/>
          <w:bottom w:val="nil"/>
          <w:right w:val="nil"/>
          <w:between w:val="nil"/>
        </w:pBdr>
        <w:rPr>
          <w:color w:val="000000"/>
          <w:sz w:val="24"/>
          <w:szCs w:val="24"/>
        </w:rPr>
      </w:pPr>
      <w:r>
        <w:rPr>
          <w:color w:val="000000"/>
          <w:sz w:val="24"/>
          <w:szCs w:val="24"/>
        </w:rPr>
        <w:t>Please note that</w:t>
      </w:r>
      <w:r w:rsidR="000336F8">
        <w:rPr>
          <w:color w:val="000000"/>
          <w:sz w:val="24"/>
          <w:szCs w:val="24"/>
        </w:rPr>
        <w:t xml:space="preserve"> because</w:t>
      </w:r>
      <w:r>
        <w:rPr>
          <w:color w:val="000000"/>
          <w:sz w:val="24"/>
          <w:szCs w:val="24"/>
        </w:rPr>
        <w:t xml:space="preserve"> due to the fact that this report is due by November 1, it includes the status of activities completed through Oct</w:t>
      </w:r>
      <w:r>
        <w:rPr>
          <w:sz w:val="24"/>
          <w:szCs w:val="24"/>
        </w:rPr>
        <w:t>ober</w:t>
      </w:r>
      <w:r>
        <w:rPr>
          <w:color w:val="000000"/>
          <w:sz w:val="24"/>
          <w:szCs w:val="24"/>
        </w:rPr>
        <w:t xml:space="preserve"> </w:t>
      </w:r>
      <w:r>
        <w:rPr>
          <w:sz w:val="24"/>
          <w:szCs w:val="24"/>
        </w:rPr>
        <w:t>30</w:t>
      </w:r>
      <w:r>
        <w:rPr>
          <w:color w:val="000000"/>
          <w:sz w:val="24"/>
          <w:szCs w:val="24"/>
        </w:rPr>
        <w:t>, 202</w:t>
      </w:r>
      <w:r>
        <w:rPr>
          <w:sz w:val="24"/>
          <w:szCs w:val="24"/>
        </w:rPr>
        <w:t>3</w:t>
      </w:r>
      <w:r>
        <w:rPr>
          <w:color w:val="000000"/>
          <w:sz w:val="24"/>
          <w:szCs w:val="24"/>
        </w:rPr>
        <w:t>.  Regu</w:t>
      </w:r>
      <w:r>
        <w:rPr>
          <w:color w:val="000000"/>
          <w:sz w:val="24"/>
          <w:szCs w:val="24"/>
        </w:rPr>
        <w:t>latory activities planned for the remainder of calendar year 2023 will be reflected in the Department’s 202</w:t>
      </w:r>
      <w:r>
        <w:rPr>
          <w:sz w:val="24"/>
          <w:szCs w:val="24"/>
        </w:rPr>
        <w:t>4</w:t>
      </w:r>
      <w:r>
        <w:rPr>
          <w:color w:val="000000"/>
          <w:sz w:val="24"/>
          <w:szCs w:val="24"/>
        </w:rPr>
        <w:t xml:space="preserve"> </w:t>
      </w:r>
      <w:r w:rsidR="000336F8">
        <w:rPr>
          <w:color w:val="000000"/>
          <w:sz w:val="24"/>
          <w:szCs w:val="24"/>
        </w:rPr>
        <w:t>R</w:t>
      </w:r>
      <w:r>
        <w:rPr>
          <w:color w:val="000000"/>
          <w:sz w:val="24"/>
          <w:szCs w:val="24"/>
        </w:rPr>
        <w:t xml:space="preserve">egulatory </w:t>
      </w:r>
      <w:r w:rsidR="000336F8">
        <w:rPr>
          <w:color w:val="000000"/>
          <w:sz w:val="24"/>
          <w:szCs w:val="24"/>
        </w:rPr>
        <w:t>A</w:t>
      </w:r>
      <w:r>
        <w:rPr>
          <w:color w:val="000000"/>
          <w:sz w:val="24"/>
          <w:szCs w:val="24"/>
        </w:rPr>
        <w:t xml:space="preserve">genda and will be reported on in the department’s 2023 </w:t>
      </w:r>
      <w:r w:rsidR="000336F8">
        <w:rPr>
          <w:color w:val="000000"/>
          <w:sz w:val="24"/>
          <w:szCs w:val="24"/>
        </w:rPr>
        <w:t>R</w:t>
      </w:r>
      <w:r>
        <w:rPr>
          <w:color w:val="000000"/>
          <w:sz w:val="24"/>
          <w:szCs w:val="24"/>
        </w:rPr>
        <w:t xml:space="preserve">egulatory </w:t>
      </w:r>
      <w:r w:rsidR="000336F8">
        <w:rPr>
          <w:color w:val="000000"/>
          <w:sz w:val="24"/>
          <w:szCs w:val="24"/>
        </w:rPr>
        <w:t>A</w:t>
      </w:r>
      <w:r>
        <w:rPr>
          <w:color w:val="000000"/>
          <w:sz w:val="24"/>
          <w:szCs w:val="24"/>
        </w:rPr>
        <w:t xml:space="preserve">genda </w:t>
      </w:r>
      <w:r w:rsidR="000336F8">
        <w:rPr>
          <w:color w:val="000000"/>
          <w:sz w:val="24"/>
          <w:szCs w:val="24"/>
        </w:rPr>
        <w:t>R</w:t>
      </w:r>
      <w:r>
        <w:rPr>
          <w:color w:val="000000"/>
          <w:sz w:val="24"/>
          <w:szCs w:val="24"/>
        </w:rPr>
        <w:t>eport.</w:t>
      </w:r>
    </w:p>
    <w:p w:rsidR="00C57A0F" w:rsidRDefault="00C57A0F">
      <w:pPr>
        <w:pBdr>
          <w:top w:val="nil"/>
          <w:left w:val="nil"/>
          <w:bottom w:val="nil"/>
          <w:right w:val="nil"/>
          <w:between w:val="nil"/>
        </w:pBdr>
        <w:rPr>
          <w:color w:val="000000"/>
          <w:sz w:val="24"/>
          <w:szCs w:val="24"/>
        </w:rPr>
      </w:pPr>
    </w:p>
    <w:p w:rsidR="00C57A0F" w:rsidRDefault="007203B1">
      <w:pPr>
        <w:pBdr>
          <w:top w:val="nil"/>
          <w:left w:val="nil"/>
          <w:bottom w:val="nil"/>
          <w:right w:val="nil"/>
          <w:between w:val="nil"/>
        </w:pBdr>
        <w:rPr>
          <w:color w:val="000000"/>
          <w:sz w:val="24"/>
          <w:szCs w:val="24"/>
        </w:rPr>
      </w:pPr>
      <w:r>
        <w:rPr>
          <w:color w:val="000000"/>
          <w:sz w:val="24"/>
          <w:szCs w:val="24"/>
        </w:rPr>
        <w:t>Th</w:t>
      </w:r>
      <w:r>
        <w:rPr>
          <w:sz w:val="24"/>
          <w:szCs w:val="24"/>
        </w:rPr>
        <w:t>is</w:t>
      </w:r>
      <w:r>
        <w:rPr>
          <w:color w:val="000000"/>
          <w:sz w:val="24"/>
          <w:szCs w:val="24"/>
        </w:rPr>
        <w:t xml:space="preserve"> report includes three sections:</w:t>
      </w:r>
    </w:p>
    <w:p w:rsidR="00C57A0F" w:rsidRDefault="00C57A0F">
      <w:pPr>
        <w:pBdr>
          <w:top w:val="nil"/>
          <w:left w:val="nil"/>
          <w:bottom w:val="nil"/>
          <w:right w:val="nil"/>
          <w:between w:val="nil"/>
        </w:pBdr>
        <w:rPr>
          <w:color w:val="000000"/>
          <w:sz w:val="24"/>
          <w:szCs w:val="24"/>
        </w:rPr>
      </w:pPr>
    </w:p>
    <w:p w:rsidR="00C57A0F" w:rsidRDefault="007203B1">
      <w:pPr>
        <w:numPr>
          <w:ilvl w:val="0"/>
          <w:numId w:val="1"/>
        </w:numPr>
        <w:pBdr>
          <w:top w:val="nil"/>
          <w:left w:val="nil"/>
          <w:bottom w:val="nil"/>
          <w:right w:val="nil"/>
          <w:between w:val="nil"/>
        </w:pBdr>
      </w:pPr>
      <w:r>
        <w:rPr>
          <w:color w:val="000000"/>
          <w:sz w:val="24"/>
          <w:szCs w:val="24"/>
        </w:rPr>
        <w:t>Results of rule</w:t>
      </w:r>
      <w:r>
        <w:rPr>
          <w:color w:val="000000"/>
          <w:sz w:val="24"/>
          <w:szCs w:val="24"/>
        </w:rPr>
        <w:t>making activity included in the 202</w:t>
      </w:r>
      <w:r>
        <w:rPr>
          <w:sz w:val="24"/>
          <w:szCs w:val="24"/>
        </w:rPr>
        <w:t>3</w:t>
      </w:r>
      <w:r>
        <w:rPr>
          <w:color w:val="000000"/>
          <w:sz w:val="24"/>
          <w:szCs w:val="24"/>
        </w:rPr>
        <w:t xml:space="preserve"> CDPS Regulatory Agenda</w:t>
      </w:r>
    </w:p>
    <w:p w:rsidR="00C57A0F" w:rsidRDefault="007203B1">
      <w:pPr>
        <w:numPr>
          <w:ilvl w:val="0"/>
          <w:numId w:val="1"/>
        </w:numPr>
        <w:pBdr>
          <w:top w:val="nil"/>
          <w:left w:val="nil"/>
          <w:bottom w:val="nil"/>
          <w:right w:val="nil"/>
          <w:between w:val="nil"/>
        </w:pBdr>
      </w:pPr>
      <w:r>
        <w:rPr>
          <w:color w:val="000000"/>
          <w:sz w:val="24"/>
          <w:szCs w:val="24"/>
        </w:rPr>
        <w:t>A more detailed look at outcomes of mandatory rules efficiency reviews</w:t>
      </w:r>
    </w:p>
    <w:p w:rsidR="00C57A0F" w:rsidRDefault="007203B1">
      <w:pPr>
        <w:numPr>
          <w:ilvl w:val="0"/>
          <w:numId w:val="1"/>
        </w:numPr>
        <w:pBdr>
          <w:top w:val="nil"/>
          <w:left w:val="nil"/>
          <w:bottom w:val="nil"/>
          <w:right w:val="nil"/>
          <w:between w:val="nil"/>
        </w:pBdr>
      </w:pPr>
      <w:r>
        <w:rPr>
          <w:color w:val="000000"/>
          <w:sz w:val="24"/>
          <w:szCs w:val="24"/>
        </w:rPr>
        <w:t>Results of unplanned rulemaking</w:t>
      </w:r>
    </w:p>
    <w:p w:rsidR="00C57A0F" w:rsidRDefault="00C57A0F">
      <w:pPr>
        <w:pBdr>
          <w:top w:val="nil"/>
          <w:left w:val="nil"/>
          <w:bottom w:val="nil"/>
          <w:right w:val="nil"/>
          <w:between w:val="nil"/>
        </w:pBdr>
        <w:rPr>
          <w:color w:val="000000"/>
          <w:sz w:val="24"/>
          <w:szCs w:val="24"/>
        </w:rPr>
      </w:pPr>
    </w:p>
    <w:p w:rsidR="00C57A0F" w:rsidRDefault="007203B1">
      <w:pPr>
        <w:rPr>
          <w:color w:val="000000"/>
          <w:sz w:val="24"/>
          <w:szCs w:val="24"/>
        </w:rPr>
      </w:pPr>
      <w:r>
        <w:rPr>
          <w:sz w:val="24"/>
          <w:szCs w:val="24"/>
        </w:rPr>
        <w:t>Note: Several rules appear in both the 2024 CDPS Regulatory Agenda and the Unplanned Rulemaking section of this 2023 CDPS Regulatory</w:t>
      </w:r>
      <w:r w:rsidR="000336F8">
        <w:rPr>
          <w:sz w:val="24"/>
          <w:szCs w:val="24"/>
        </w:rPr>
        <w:t xml:space="preserve"> Agenda</w:t>
      </w:r>
      <w:bookmarkStart w:id="0" w:name="_GoBack"/>
      <w:bookmarkEnd w:id="0"/>
      <w:r>
        <w:rPr>
          <w:sz w:val="24"/>
          <w:szCs w:val="24"/>
        </w:rPr>
        <w:t xml:space="preserve"> Report; these rules are included in both reports in the event that the rules are unable to be adopted as a result of the ru</w:t>
      </w:r>
      <w:r>
        <w:rPr>
          <w:sz w:val="24"/>
          <w:szCs w:val="24"/>
        </w:rPr>
        <w:t xml:space="preserve">lemaking hearing, if the response for the issuance of the Attorney General Rule Opinion is not filed within 20 days after rule adoption, or if the Attorney General Rule Opinion requires amendment to the proposed rules and the Department must re-engage the </w:t>
      </w:r>
      <w:r>
        <w:rPr>
          <w:sz w:val="24"/>
          <w:szCs w:val="24"/>
        </w:rPr>
        <w:t>rulemaking process.</w:t>
      </w:r>
    </w:p>
    <w:p w:rsidR="00C57A0F" w:rsidRDefault="00C57A0F">
      <w:pPr>
        <w:pBdr>
          <w:top w:val="nil"/>
          <w:left w:val="nil"/>
          <w:bottom w:val="nil"/>
          <w:right w:val="nil"/>
          <w:between w:val="nil"/>
        </w:pBdr>
        <w:rPr>
          <w:color w:val="000000"/>
          <w:sz w:val="24"/>
          <w:szCs w:val="24"/>
        </w:rPr>
      </w:pPr>
    </w:p>
    <w:p w:rsidR="00C57A0F" w:rsidRDefault="007203B1">
      <w:pPr>
        <w:rPr>
          <w:color w:val="366091"/>
          <w:sz w:val="36"/>
          <w:szCs w:val="36"/>
        </w:rPr>
      </w:pPr>
      <w:r>
        <w:br w:type="page"/>
      </w:r>
    </w:p>
    <w:p w:rsidR="00C57A0F" w:rsidRDefault="007203B1">
      <w:pPr>
        <w:pStyle w:val="Heading1"/>
      </w:pPr>
      <w:r>
        <w:lastRenderedPageBreak/>
        <w:t>Results of Rulemaking Activity Included in the 2023 CDPS Regulatory Agenda</w:t>
      </w:r>
    </w:p>
    <w:p w:rsidR="00C57A0F" w:rsidRDefault="00C57A0F"/>
    <w:tbl>
      <w:tblPr>
        <w:tblStyle w:val="a"/>
        <w:tblW w:w="14505" w:type="dxa"/>
        <w:tblLayout w:type="fixed"/>
        <w:tblLook w:val="0400" w:firstRow="0" w:lastRow="0" w:firstColumn="0" w:lastColumn="0" w:noHBand="0" w:noVBand="1"/>
      </w:tblPr>
      <w:tblGrid>
        <w:gridCol w:w="960"/>
        <w:gridCol w:w="2190"/>
        <w:gridCol w:w="1170"/>
        <w:gridCol w:w="1515"/>
        <w:gridCol w:w="3150"/>
        <w:gridCol w:w="1920"/>
        <w:gridCol w:w="900"/>
        <w:gridCol w:w="1245"/>
        <w:gridCol w:w="1455"/>
      </w:tblGrid>
      <w:tr w:rsidR="00C57A0F">
        <w:trPr>
          <w:cantSplit/>
          <w:trHeight w:val="315"/>
          <w:tblHeader/>
        </w:trPr>
        <w:tc>
          <w:tcPr>
            <w:tcW w:w="960"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Rule Number</w:t>
            </w:r>
          </w:p>
        </w:tc>
        <w:tc>
          <w:tcPr>
            <w:tcW w:w="2190"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 xml:space="preserve">Rule Title (or Brief Description) </w:t>
            </w:r>
          </w:p>
        </w:tc>
        <w:tc>
          <w:tcPr>
            <w:tcW w:w="1170"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New rule, revision, review or repeal?</w:t>
            </w:r>
          </w:p>
        </w:tc>
        <w:tc>
          <w:tcPr>
            <w:tcW w:w="1515"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Statutory or other basis for adoption of rule</w:t>
            </w:r>
          </w:p>
        </w:tc>
        <w:tc>
          <w:tcPr>
            <w:tcW w:w="3150"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Purpose</w:t>
            </w:r>
          </w:p>
        </w:tc>
        <w:tc>
          <w:tcPr>
            <w:tcW w:w="1920"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Stakeholders</w:t>
            </w:r>
          </w:p>
        </w:tc>
        <w:tc>
          <w:tcPr>
            <w:tcW w:w="900"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Statu</w:t>
            </w:r>
            <w:r>
              <w:t>s</w:t>
            </w:r>
          </w:p>
        </w:tc>
        <w:tc>
          <w:tcPr>
            <w:tcW w:w="1245"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Adoption Date, if applicable</w:t>
            </w:r>
          </w:p>
        </w:tc>
        <w:tc>
          <w:tcPr>
            <w:tcW w:w="1455" w:type="dxa"/>
            <w:tcBorders>
              <w:top w:val="single" w:sz="6" w:space="0" w:color="CCCCCC"/>
              <w:left w:val="single" w:sz="6" w:space="0" w:color="CCCCCC"/>
              <w:bottom w:val="single" w:sz="6" w:space="0" w:color="CCCCCC"/>
              <w:right w:val="single" w:sz="6" w:space="0" w:color="CCCCCC"/>
            </w:tcBorders>
            <w:shd w:val="clear" w:color="auto" w:fill="6AA84F"/>
            <w:tcMar>
              <w:top w:w="30" w:type="dxa"/>
              <w:left w:w="45" w:type="dxa"/>
              <w:bottom w:w="30" w:type="dxa"/>
              <w:right w:w="45" w:type="dxa"/>
            </w:tcMar>
          </w:tcPr>
          <w:p w:rsidR="00C57A0F" w:rsidRDefault="007203B1">
            <w:pPr>
              <w:pStyle w:val="Heading2"/>
            </w:pPr>
            <w:r>
              <w:t>Comments</w:t>
            </w:r>
          </w:p>
        </w:tc>
      </w:tr>
      <w:tr w:rsidR="00C57A0F">
        <w:trPr>
          <w:cantSplit/>
          <w:trHeight w:val="315"/>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8 CCR 1507-22</w:t>
            </w:r>
          </w:p>
        </w:tc>
        <w:tc>
          <w:tcPr>
            <w:tcW w:w="21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 xml:space="preserve">Claims for Reimbursement for the Costs of Response and Mitigation of Hazardous Substance Incidents (HM Reimbursement Rules) </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Revision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29-22-104, CRS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Typical revisions necessary to comply with updated versions of the CFR and CVSA OOS Criteria. Updated website information for federal and state; updated formatting, including new section and subparagraph titling throughout consistent with recommendations a</w:t>
            </w:r>
            <w:r>
              <w:rPr>
                <w:color w:val="000000"/>
                <w:sz w:val="20"/>
                <w:szCs w:val="20"/>
              </w:rPr>
              <w:t>nd guidance provided by the SOS, updated existing definitions applicable to the rules, updated information referencing the process to request copies of these rules and introduced a severability clause into the rules.</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Members of the CMV industry, law enforc</w:t>
            </w:r>
            <w:r>
              <w:rPr>
                <w:color w:val="000000"/>
                <w:sz w:val="20"/>
                <w:szCs w:val="20"/>
              </w:rPr>
              <w:t>ement, other govt. entities, CDOT, USDOT, members of the insurance industry</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Adopted</w:t>
            </w:r>
          </w:p>
        </w:tc>
        <w:tc>
          <w:tcPr>
            <w:tcW w:w="1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sz w:val="20"/>
                <w:szCs w:val="20"/>
              </w:rPr>
              <w:t>1/19/2023</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color w:val="000000"/>
                <w:sz w:val="20"/>
                <w:szCs w:val="20"/>
              </w:rPr>
            </w:pPr>
            <w:r>
              <w:rPr>
                <w:color w:val="000000"/>
                <w:sz w:val="20"/>
                <w:szCs w:val="20"/>
              </w:rPr>
              <w:t xml:space="preserve">Rulemaking hearing </w:t>
            </w:r>
            <w:r>
              <w:rPr>
                <w:sz w:val="20"/>
                <w:szCs w:val="20"/>
              </w:rPr>
              <w:t>01/17/2023</w:t>
            </w:r>
            <w:r>
              <w:rPr>
                <w:color w:val="000000"/>
                <w:sz w:val="20"/>
                <w:szCs w:val="20"/>
              </w:rPr>
              <w:t xml:space="preserve"> virtually</w:t>
            </w:r>
          </w:p>
        </w:tc>
      </w:tr>
      <w:tr w:rsidR="00C57A0F">
        <w:trPr>
          <w:cantSplit/>
          <w:trHeight w:val="315"/>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1507-28</w:t>
            </w:r>
          </w:p>
        </w:tc>
        <w:tc>
          <w:tcPr>
            <w:tcW w:w="21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Port of Entry Rules for Commercial Motor Carrier Size, Weight and Clearance (POE Size and Weight Rules)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42-8-104, C.R.S.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 xml:space="preserve">Typical revisions necessary to comply with updated versions of the CFR, changes to CRS, updating website information, to reorganize and update formatting, and to update verbiage and grammar throughout to improve clarity and flow. </w:t>
            </w:r>
            <w:r>
              <w:rPr>
                <w:sz w:val="20"/>
                <w:szCs w:val="20"/>
              </w:rPr>
              <w:t xml:space="preserve">Update references to supporting documentation from the FMCSA regarding High-Risk Motor Carriers. </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Members of the CMV industry, law enforcement, other govt. entities, CDOT, USDOT</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1/19/2023</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Rulemaking hearing 01/17/2023 virtually</w:t>
            </w:r>
          </w:p>
        </w:tc>
      </w:tr>
      <w:tr w:rsidR="00C57A0F">
        <w:trPr>
          <w:cantSplit/>
          <w:trHeight w:val="315"/>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lastRenderedPageBreak/>
              <w:t>8 CCR 1507-25</w:t>
            </w:r>
          </w:p>
        </w:tc>
        <w:tc>
          <w:tcPr>
            <w:tcW w:w="21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Permitting, Routing &amp; Transportation of Hazardous and Nuclear Materials and the Intrastate Transportation of Agricultural Products in the State of Colorado (HM Routing Rules)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42-20-108, 42-20-403, 42-20-504, 42-20-508, 42-20-108.5, C.R.S.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 xml:space="preserve">Typical </w:t>
            </w:r>
            <w:r>
              <w:rPr>
                <w:sz w:val="20"/>
                <w:szCs w:val="20"/>
              </w:rPr>
              <w:t>revisions necessary to comply with updated versions of the CFR and CVSA OOS Criteria. Clarify information required to be included as part of HAZMAT Routing Petition Applications. Update information describing existing HAZMAT Routes within Colorado. Clarify</w:t>
            </w:r>
            <w:r>
              <w:rPr>
                <w:sz w:val="20"/>
                <w:szCs w:val="20"/>
              </w:rPr>
              <w:t xml:space="preserve"> the designation of temporary or alternate HAZMAT routing by CSP. Clarify existing practice, policy, and rule interpretation regarding notice to be provided by Licensees prior to shipping highway route-controlled quantities of nuclear materials within Colo</w:t>
            </w:r>
            <w:r>
              <w:rPr>
                <w:sz w:val="20"/>
                <w:szCs w:val="20"/>
              </w:rPr>
              <w:t>rado. Update verbiage, correct minor grammatical and formatting errors and issues, and update paragraph numbering as appropriate.</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Members of the CMV industry, law enforcement, other Gov’t entities, CDOT, USDOT</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1/19/2023</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Rulemaking hearing 01/17/202</w:t>
            </w:r>
            <w:r>
              <w:rPr>
                <w:sz w:val="20"/>
                <w:szCs w:val="20"/>
              </w:rPr>
              <w:t>3 virtually</w:t>
            </w:r>
          </w:p>
        </w:tc>
      </w:tr>
      <w:tr w:rsidR="00C57A0F">
        <w:trPr>
          <w:cantSplit/>
          <w:trHeight w:val="315"/>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1507-30</w:t>
            </w:r>
          </w:p>
        </w:tc>
        <w:tc>
          <w:tcPr>
            <w:tcW w:w="21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Code Enforcement and Certification of Inspectors for Public Schools, Charter Schools &amp; Junior Colleges</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22-32-124,</w:t>
            </w:r>
          </w:p>
          <w:p w:rsidR="00C57A0F" w:rsidRDefault="007203B1">
            <w:pPr>
              <w:rPr>
                <w:sz w:val="20"/>
                <w:szCs w:val="20"/>
              </w:rPr>
            </w:pPr>
            <w:r>
              <w:rPr>
                <w:sz w:val="20"/>
                <w:szCs w:val="20"/>
              </w:rPr>
              <w:t>23-71-122, C.R.S.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Raise fees and change some verbiage related to special inspectors to better align with the changes being made in 8 CCR 1507-101</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Fire Inspectors, building code Officials, Fire Code Officials</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Deferred</w:t>
            </w:r>
          </w:p>
        </w:tc>
        <w:tc>
          <w:tcPr>
            <w:tcW w:w="1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n/a</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On hold till administrative rule review 2024.</w:t>
            </w:r>
          </w:p>
        </w:tc>
      </w:tr>
      <w:tr w:rsidR="00C57A0F">
        <w:trPr>
          <w:cantSplit/>
          <w:trHeight w:val="315"/>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1507-58</w:t>
            </w:r>
          </w:p>
        </w:tc>
        <w:tc>
          <w:tcPr>
            <w:tcW w:w="219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Third Party VIN Verification Program</w:t>
            </w:r>
          </w:p>
        </w:tc>
        <w:tc>
          <w:tcPr>
            <w:tcW w:w="11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42-1-232, C.R.S.</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Review and update, as may be determined necessary, to be consistent with current statutory requirements and to refine the program. This rule review has yet to occur and any further specific changes to these rules is unknown at this time.</w:t>
            </w:r>
          </w:p>
        </w:tc>
        <w:tc>
          <w:tcPr>
            <w:tcW w:w="19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Commercial Motor V</w:t>
            </w:r>
            <w:r>
              <w:rPr>
                <w:sz w:val="20"/>
                <w:szCs w:val="20"/>
              </w:rPr>
              <w:t>ehicle Industry</w:t>
            </w:r>
          </w:p>
        </w:tc>
        <w:tc>
          <w:tcPr>
            <w:tcW w:w="90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Deferred</w:t>
            </w:r>
          </w:p>
        </w:tc>
        <w:tc>
          <w:tcPr>
            <w:tcW w:w="1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n/a</w:t>
            </w:r>
          </w:p>
        </w:tc>
        <w:tc>
          <w:tcPr>
            <w:tcW w:w="145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On hold till administrative rule review in 2024.</w:t>
            </w:r>
          </w:p>
        </w:tc>
      </w:tr>
    </w:tbl>
    <w:p w:rsidR="00C57A0F" w:rsidRDefault="007203B1">
      <w:pPr>
        <w:pStyle w:val="Heading1"/>
        <w:tabs>
          <w:tab w:val="left" w:pos="1950"/>
        </w:tabs>
        <w:rPr>
          <w:highlight w:val="white"/>
        </w:rPr>
      </w:pPr>
      <w:bookmarkStart w:id="1" w:name="_heading=h.gjdgxs" w:colFirst="0" w:colLast="0"/>
      <w:bookmarkEnd w:id="1"/>
      <w:r>
        <w:rPr>
          <w:highlight w:val="white"/>
        </w:rPr>
        <w:lastRenderedPageBreak/>
        <w:t>Results of Mandatory Rules Efficiency Review</w:t>
      </w:r>
    </w:p>
    <w:p w:rsidR="00C57A0F" w:rsidRDefault="00C57A0F"/>
    <w:p w:rsidR="00C57A0F" w:rsidRDefault="00C57A0F"/>
    <w:tbl>
      <w:tblPr>
        <w:tblStyle w:val="a0"/>
        <w:tblW w:w="14640" w:type="dxa"/>
        <w:tblLayout w:type="fixed"/>
        <w:tblLook w:val="0400" w:firstRow="0" w:lastRow="0" w:firstColumn="0" w:lastColumn="0" w:noHBand="0" w:noVBand="1"/>
      </w:tblPr>
      <w:tblGrid>
        <w:gridCol w:w="1305"/>
        <w:gridCol w:w="975"/>
        <w:gridCol w:w="2085"/>
        <w:gridCol w:w="1620"/>
        <w:gridCol w:w="1275"/>
        <w:gridCol w:w="1815"/>
        <w:gridCol w:w="1290"/>
        <w:gridCol w:w="1320"/>
        <w:gridCol w:w="2955"/>
      </w:tblGrid>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lastRenderedPageBreak/>
              <w:t>Schedule (month reviewed)</w:t>
            </w:r>
          </w:p>
        </w:tc>
        <w:tc>
          <w:tcPr>
            <w:tcW w:w="975"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Rule Number</w:t>
            </w:r>
          </w:p>
        </w:tc>
        <w:tc>
          <w:tcPr>
            <w:tcW w:w="2085"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 xml:space="preserve">Rule Title (or Brief Description) </w:t>
            </w:r>
          </w:p>
        </w:tc>
        <w:tc>
          <w:tcPr>
            <w:tcW w:w="1620"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Statutory or other basis for adoption of rule</w:t>
            </w:r>
          </w:p>
        </w:tc>
        <w:tc>
          <w:tcPr>
            <w:tcW w:w="1275"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 xml:space="preserve">Did review result in revisions to regulation? </w:t>
            </w:r>
          </w:p>
        </w:tc>
        <w:tc>
          <w:tcPr>
            <w:tcW w:w="1815"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Did review result in repeal of any part of the regulation? If so, how many rules?</w:t>
            </w:r>
          </w:p>
        </w:tc>
        <w:tc>
          <w:tcPr>
            <w:tcW w:w="1290"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Did review result in repeal of the entire CCR volume?</w:t>
            </w:r>
          </w:p>
        </w:tc>
        <w:tc>
          <w:tcPr>
            <w:tcW w:w="1320"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 xml:space="preserve">Adoption date, if applicable </w:t>
            </w:r>
          </w:p>
        </w:tc>
        <w:tc>
          <w:tcPr>
            <w:tcW w:w="2955" w:type="dxa"/>
            <w:tcBorders>
              <w:top w:val="single" w:sz="6" w:space="0" w:color="CCCCCC"/>
              <w:left w:val="single" w:sz="6" w:space="0" w:color="CCCCCC"/>
              <w:bottom w:val="single" w:sz="6" w:space="0" w:color="CCCCCC"/>
              <w:right w:val="single" w:sz="6" w:space="0" w:color="CCCCCC"/>
            </w:tcBorders>
            <w:shd w:val="clear" w:color="auto" w:fill="0070C0"/>
            <w:tcMar>
              <w:top w:w="30" w:type="dxa"/>
              <w:left w:w="45" w:type="dxa"/>
              <w:bottom w:w="30" w:type="dxa"/>
              <w:right w:w="45" w:type="dxa"/>
            </w:tcMar>
          </w:tcPr>
          <w:p w:rsidR="00C57A0F" w:rsidRDefault="007203B1">
            <w:pPr>
              <w:pStyle w:val="Heading2"/>
            </w:pPr>
            <w:r>
              <w:t xml:space="preserve">Comments (optional) </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Jan.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w:t>
            </w:r>
            <w:r>
              <w:rPr>
                <w:sz w:val="20"/>
                <w:szCs w:val="20"/>
              </w:rPr>
              <w:t>53</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Uniform Standards and Minimum Fire and Life Safety Requirements for Waste Tire Facilities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30-20-1401,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Jan.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1507-57</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Building and Fire Code Enforcement and Certification of Inspectors for Limited Gaming Facilities Licensed by the State of Colorado</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44-30-515,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Feb.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1507-3</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Firefighter Voluntary Certification Program</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24-33.5-1204,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Feb.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1507-34</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Local Firefighter Safety and Disease Prevention Fund</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24-33.5-1203.5, 24-33.5-1231,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May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1507-41</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Building Security and Occupant Protection</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24-33.5-1608,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June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1507-40</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Continuity of State Government Operations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24-33.5-1609,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lastRenderedPageBreak/>
              <w:t>June 2023</w:t>
            </w:r>
          </w:p>
        </w:tc>
        <w:tc>
          <w:tcPr>
            <w:tcW w:w="9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1507-12</w:t>
            </w:r>
          </w:p>
        </w:tc>
        <w:tc>
          <w:tcPr>
            <w:tcW w:w="208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Persons Dealing with Fireworks</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24-33.5-2004(7), </w:t>
            </w:r>
          </w:p>
          <w:p w:rsidR="00C57A0F" w:rsidRDefault="007203B1">
            <w:pPr>
              <w:rPr>
                <w:sz w:val="20"/>
                <w:szCs w:val="20"/>
              </w:rPr>
            </w:pPr>
            <w:r>
              <w:rPr>
                <w:sz w:val="20"/>
                <w:szCs w:val="20"/>
              </w:rPr>
              <w:t xml:space="preserve">12-28-101 et seq., </w:t>
            </w:r>
          </w:p>
          <w:p w:rsidR="00C57A0F" w:rsidRDefault="007203B1">
            <w:pPr>
              <w:rPr>
                <w:sz w:val="20"/>
                <w:szCs w:val="20"/>
              </w:rPr>
            </w:pPr>
            <w:r>
              <w:rPr>
                <w:sz w:val="20"/>
                <w:szCs w:val="20"/>
              </w:rPr>
              <w:t>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Yes</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Anticipated 11/20/2023</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by two divisional sections. Both sections agreed that rulemaking was necessary to revise and update the certification procedures for firework display and pyrotechnic operators. Additional minor revisions for updatin</w:t>
            </w:r>
            <w:r>
              <w:rPr>
                <w:sz w:val="20"/>
                <w:szCs w:val="20"/>
              </w:rPr>
              <w:t>g definitions, clarifying procedures, and grammatical and formatting issues. Rulemaking hearing on 11/16/2023.</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Sept. 2023</w:t>
            </w:r>
          </w:p>
        </w:tc>
        <w:tc>
          <w:tcPr>
            <w:tcW w:w="9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1507-2</w:t>
            </w:r>
            <w:r>
              <w:rPr>
                <w:sz w:val="20"/>
                <w:szCs w:val="20"/>
              </w:rPr>
              <w:t>3</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Amber Alert Program</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24-33.52-415.7,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Sept. 2023</w:t>
            </w:r>
          </w:p>
        </w:tc>
        <w:tc>
          <w:tcPr>
            <w:tcW w:w="9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1507-26</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Missing Senior Citizen and Person with Developmental Disabilities Alert Program</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24-33.5-415.8,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Sept. 2023</w:t>
            </w:r>
          </w:p>
        </w:tc>
        <w:tc>
          <w:tcPr>
            <w:tcW w:w="9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1507-27</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Blue Alert Program</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24.33.5-416.5,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Yes</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Anticipated Jan. 2024</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Rule was reviewed and changes were deemed necessary to clarify and update the notifications section, to reorganize the policy sections for flow and clarity, to update the definitions, to update formatti</w:t>
            </w:r>
            <w:r>
              <w:rPr>
                <w:sz w:val="20"/>
                <w:szCs w:val="20"/>
              </w:rPr>
              <w:t xml:space="preserve">ng, and to correct formatting and minor grammatical errors. </w:t>
            </w:r>
          </w:p>
        </w:tc>
      </w:tr>
      <w:tr w:rsidR="00C57A0F">
        <w:trPr>
          <w:cantSplit/>
          <w:trHeight w:val="315"/>
          <w:tblHeader/>
        </w:trPr>
        <w:tc>
          <w:tcPr>
            <w:tcW w:w="130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Sept. 2023</w:t>
            </w:r>
          </w:p>
        </w:tc>
        <w:tc>
          <w:tcPr>
            <w:tcW w:w="97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8 CCR 1507-33</w:t>
            </w:r>
          </w:p>
        </w:tc>
        <w:tc>
          <w:tcPr>
            <w:tcW w:w="208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Medina Alert Program</w:t>
            </w:r>
          </w:p>
        </w:tc>
        <w:tc>
          <w:tcPr>
            <w:tcW w:w="16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24-33.5-416.7, C.R.S.</w:t>
            </w:r>
          </w:p>
        </w:tc>
        <w:tc>
          <w:tcPr>
            <w:tcW w:w="127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8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29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No</w:t>
            </w:r>
          </w:p>
        </w:tc>
        <w:tc>
          <w:tcPr>
            <w:tcW w:w="13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pBdr>
                <w:top w:val="nil"/>
                <w:left w:val="nil"/>
                <w:bottom w:val="nil"/>
                <w:right w:val="nil"/>
                <w:between w:val="nil"/>
              </w:pBdr>
              <w:rPr>
                <w:sz w:val="20"/>
                <w:szCs w:val="20"/>
              </w:rPr>
            </w:pPr>
            <w:r>
              <w:rPr>
                <w:sz w:val="20"/>
                <w:szCs w:val="20"/>
              </w:rPr>
              <w:t>N/A</w:t>
            </w:r>
          </w:p>
        </w:tc>
        <w:tc>
          <w:tcPr>
            <w:tcW w:w="29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 was reviewed and no changes were deemed necessary.</w:t>
            </w:r>
          </w:p>
        </w:tc>
      </w:tr>
    </w:tbl>
    <w:p w:rsidR="00C57A0F" w:rsidRDefault="007203B1">
      <w:pPr>
        <w:pStyle w:val="Heading1"/>
      </w:pPr>
      <w:r>
        <w:lastRenderedPageBreak/>
        <w:t>Unplanned Rulemaking - Not Part of Regulatory Agenda or Mandatory Rules Review</w:t>
      </w:r>
    </w:p>
    <w:tbl>
      <w:tblPr>
        <w:tblStyle w:val="a1"/>
        <w:tblW w:w="14385" w:type="dxa"/>
        <w:tblLayout w:type="fixed"/>
        <w:tblLook w:val="0400" w:firstRow="0" w:lastRow="0" w:firstColumn="0" w:lastColumn="0" w:noHBand="0" w:noVBand="1"/>
      </w:tblPr>
      <w:tblGrid>
        <w:gridCol w:w="960"/>
        <w:gridCol w:w="1845"/>
        <w:gridCol w:w="1110"/>
        <w:gridCol w:w="1545"/>
        <w:gridCol w:w="2925"/>
        <w:gridCol w:w="2310"/>
        <w:gridCol w:w="945"/>
        <w:gridCol w:w="1215"/>
        <w:gridCol w:w="1530"/>
      </w:tblGrid>
      <w:tr w:rsidR="00C57A0F">
        <w:trPr>
          <w:cantSplit/>
          <w:tblHeader/>
        </w:trPr>
        <w:tc>
          <w:tcPr>
            <w:tcW w:w="960"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Rule Number</w:t>
            </w:r>
          </w:p>
        </w:tc>
        <w:tc>
          <w:tcPr>
            <w:tcW w:w="1845"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 xml:space="preserve">Rule Title (or Brief Description) </w:t>
            </w:r>
          </w:p>
        </w:tc>
        <w:tc>
          <w:tcPr>
            <w:tcW w:w="1110"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New rule, revision, or repeal?</w:t>
            </w:r>
          </w:p>
        </w:tc>
        <w:tc>
          <w:tcPr>
            <w:tcW w:w="1545"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Statutory or other basis for adoption of rule</w:t>
            </w:r>
          </w:p>
        </w:tc>
        <w:tc>
          <w:tcPr>
            <w:tcW w:w="2925"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Purpose</w:t>
            </w:r>
          </w:p>
        </w:tc>
        <w:tc>
          <w:tcPr>
            <w:tcW w:w="2310"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Stakeholders</w:t>
            </w:r>
          </w:p>
        </w:tc>
        <w:tc>
          <w:tcPr>
            <w:tcW w:w="945"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Status</w:t>
            </w:r>
          </w:p>
        </w:tc>
        <w:tc>
          <w:tcPr>
            <w:tcW w:w="1215"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Adoption Date, if applicable</w:t>
            </w:r>
          </w:p>
        </w:tc>
        <w:tc>
          <w:tcPr>
            <w:tcW w:w="1530" w:type="dxa"/>
            <w:tcBorders>
              <w:top w:val="single" w:sz="6" w:space="0" w:color="CCCCCC"/>
              <w:left w:val="single" w:sz="6" w:space="0" w:color="CCCCCC"/>
              <w:bottom w:val="single" w:sz="6" w:space="0" w:color="CCCCCC"/>
              <w:right w:val="single" w:sz="6" w:space="0" w:color="CCCCCC"/>
            </w:tcBorders>
            <w:shd w:val="clear" w:color="auto" w:fill="943734"/>
            <w:tcMar>
              <w:top w:w="30" w:type="dxa"/>
              <w:left w:w="45" w:type="dxa"/>
              <w:bottom w:w="30" w:type="dxa"/>
              <w:right w:w="45" w:type="dxa"/>
            </w:tcMar>
          </w:tcPr>
          <w:p w:rsidR="00C57A0F" w:rsidRDefault="007203B1">
            <w:pPr>
              <w:pStyle w:val="Heading2"/>
            </w:pPr>
            <w:r>
              <w:t>Comments</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1507-1</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Minimum Safety Standards for Commercial Vehicles</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42-4-235,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Typical revisions necessary to comply with updated versions of the Code of Federal Regulations (CFR) and Commercial Vehicle Safet</w:t>
            </w:r>
            <w:r>
              <w:rPr>
                <w:sz w:val="20"/>
                <w:szCs w:val="20"/>
              </w:rPr>
              <w:t>y Alliance (CVSA) Out of Service (OOS) Criteria. Also updated references to websites, other applicable sections of the CSP and clarified requirements related to appeals of Civil Penalties. Corrected minor grammatical and formatting errors.</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Members of the CMV industry, law enforcement, other govt. entities, CDOT, USDOT</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1/19/2023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Rulemaking hearing 01/17/2023 </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1507-48</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Preventing Identity- Based Violence Grant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24-33.5-1620,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Revise the time frames for grant</w:t>
            </w:r>
            <w:r>
              <w:rPr>
                <w:sz w:val="20"/>
                <w:szCs w:val="20"/>
              </w:rPr>
              <w:t xml:space="preserve"> applications and distributing grant funds from specific dates to general calendar markers due to grant funding continuation.</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Local govts and state agencies, American Indian tribes, law enforcement agencies, educational entities, community-based nonprofit </w:t>
            </w:r>
            <w:r>
              <w:rPr>
                <w:sz w:val="20"/>
                <w:szCs w:val="20"/>
              </w:rPr>
              <w:t>organizations.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01/24/2023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Rulemaking hearing 01/20/2023 </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1507-60</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Rules for Fire Suppression Ponds</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24-33.5-1203.5,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Establish the criteria for Boards of County Commissioners, in</w:t>
            </w:r>
          </w:p>
          <w:p w:rsidR="00C57A0F" w:rsidRDefault="007203B1">
            <w:pPr>
              <w:rPr>
                <w:sz w:val="20"/>
                <w:szCs w:val="20"/>
              </w:rPr>
            </w:pPr>
            <w:r>
              <w:rPr>
                <w:sz w:val="20"/>
                <w:szCs w:val="20"/>
              </w:rPr>
              <w:t>consultation with Fire Protection Districts or Fire Authorities, to identify and evaluate potential fire</w:t>
            </w:r>
          </w:p>
          <w:p w:rsidR="00C57A0F" w:rsidRDefault="007203B1">
            <w:pPr>
              <w:rPr>
                <w:sz w:val="20"/>
                <w:szCs w:val="20"/>
              </w:rPr>
            </w:pPr>
            <w:r>
              <w:rPr>
                <w:sz w:val="20"/>
                <w:szCs w:val="20"/>
              </w:rPr>
              <w:t>suppression ponds.</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Local govts and state agencies, boards of county commissioners, fire protection districts and fire authorities.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03/08/2023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w:t>
            </w:r>
            <w:r>
              <w:rPr>
                <w:sz w:val="20"/>
                <w:szCs w:val="20"/>
              </w:rPr>
              <w:t>ulemaking hearing 2/14/2023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lastRenderedPageBreak/>
              <w:t>8 CCR 1507-47</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Non-profit Security Grant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24-33.5-1622 (2)(d),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Revise the time frames for grant applications and distributing grant funds from specific dates to general calendar markers due to grant fundin</w:t>
            </w:r>
            <w:r>
              <w:rPr>
                <w:sz w:val="20"/>
                <w:szCs w:val="20"/>
              </w:rPr>
              <w:t>g continuation.</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Colorado nonprofit organizations.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08/11/2023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hearing 8/7/2023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1507-49</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Urgent Incident Response Fund</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24-33.5-1623,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Emergency Rulemaking to establish new rules as soon as practical after fund appropriation to establish criteria for applying for fund reimbursement, eligibility for determining reimbursement amount, and distribution of the approved reimbursement.</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Local gov</w:t>
            </w:r>
            <w:r>
              <w:rPr>
                <w:sz w:val="20"/>
                <w:szCs w:val="20"/>
              </w:rPr>
              <w:t>ernments and state agencies.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8/24/2023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Emergency Rulemaking </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1507-49</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Urgent Incident Response Fund</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24-33.5-1623,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 xml:space="preserve">Adopt permanent rules that have been adopted as emergency rules to establish criteria for applying for fund reimbursement, eligibility for determining reimbursement amount, and distribution of the approved reimbursement. </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Local governments and state agenci</w:t>
            </w:r>
            <w:r>
              <w:rPr>
                <w:sz w:val="20"/>
                <w:szCs w:val="20"/>
              </w:rPr>
              <w:t>es.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Anticipated 11/2/2023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hearing 10/30/2023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8 CCR 1507-52 </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Reduced Ignition Propensity Cigarette Standards and Certification</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24-33.5-1214,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Following OLLS Review of the revised rules adopted in December 2022, this revisi</w:t>
            </w:r>
            <w:r>
              <w:rPr>
                <w:sz w:val="20"/>
                <w:szCs w:val="20"/>
              </w:rPr>
              <w:t>on repeals the supplemental application procedures under section 3.5 and updates the provisions under section 3.4 to better align with the statutory requirements.</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Cigarette manufacturers, Colorado Fire Chiefs and Fire Marshals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09/05/2023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w:t>
            </w:r>
            <w:r>
              <w:rPr>
                <w:sz w:val="20"/>
                <w:szCs w:val="20"/>
              </w:rPr>
              <w:t xml:space="preserve"> hearing 8/31/2023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lastRenderedPageBreak/>
              <w:t>8 CCR 1507-70</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 Access for Emergency Resources (SAFER) Grant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 &amp; 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24-33.5-2104, 24-33.5-2702,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Transfer and adopt as new</w:t>
            </w:r>
            <w:r>
              <w:rPr>
                <w:sz w:val="20"/>
                <w:szCs w:val="20"/>
              </w:rPr>
              <w:t xml:space="preserve"> rules under the administration of the newly </w:t>
            </w:r>
            <w:proofErr w:type="gramStart"/>
            <w:r>
              <w:rPr>
                <w:sz w:val="20"/>
                <w:szCs w:val="20"/>
              </w:rPr>
              <w:t>created  Office</w:t>
            </w:r>
            <w:proofErr w:type="gramEnd"/>
            <w:r>
              <w:rPr>
                <w:sz w:val="20"/>
                <w:szCs w:val="20"/>
              </w:rPr>
              <w:t xml:space="preserve"> of School Safety in the Executive Director’s Office from the Division of Homeland Security and Emergency Management. The rules were revised to update the application, award, and distribution time</w:t>
            </w:r>
            <w:r>
              <w:rPr>
                <w:sz w:val="20"/>
                <w:szCs w:val="20"/>
              </w:rPr>
              <w:t xml:space="preserve"> frames due to the appropriation of funds for this grant program. </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10/06/2023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hearing 10/4/2023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1507-71</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 Security Disbursement (SSD)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 &amp; 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24-33.5-1810 (7),</w:t>
            </w:r>
          </w:p>
          <w:p w:rsidR="00C57A0F" w:rsidRDefault="007203B1">
            <w:pPr>
              <w:rPr>
                <w:sz w:val="20"/>
                <w:szCs w:val="20"/>
              </w:rPr>
            </w:pPr>
            <w:r>
              <w:rPr>
                <w:sz w:val="20"/>
                <w:szCs w:val="20"/>
              </w:rPr>
              <w:t>24-33.5-2702,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Transfer and adopt as</w:t>
            </w:r>
            <w:r>
              <w:rPr>
                <w:sz w:val="20"/>
                <w:szCs w:val="20"/>
              </w:rPr>
              <w:t xml:space="preserve"> new rules under the administration of the newly created Office of School Safety in the Executive Director’s Office from the Division of Homeland Security and Emergency Management. The rules were revised to update program eligibility and time frames for ap</w:t>
            </w:r>
            <w:r>
              <w:rPr>
                <w:sz w:val="20"/>
                <w:szCs w:val="20"/>
              </w:rPr>
              <w:t>plication, award, and distribution of funds for this grant program.</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Adopted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10/06/2023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hearing 10/4/2023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1507-44</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 Access for Emergency Resources (SAFER) Grant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Repeal</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24-33.5-2104 (4), 24.33.5-2702, C.R.S.</w:t>
            </w:r>
          </w:p>
          <w:p w:rsidR="00C57A0F" w:rsidRDefault="00C57A0F">
            <w:pPr>
              <w:rPr>
                <w:sz w:val="20"/>
                <w:szCs w:val="20"/>
              </w:rPr>
            </w:pP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Repeal rules transferred from Division of Homeland Security and Emergency Management to the Executive Director’s Office, Office of School Safety. These rules have been revised and adopted as 8 CCR 1507-70 on 10/06/2023.</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Repealed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10/30/2023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w:t>
            </w:r>
            <w:r>
              <w:rPr>
                <w:sz w:val="20"/>
                <w:szCs w:val="20"/>
              </w:rPr>
              <w:t>ng hearing 10/30/2023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lastRenderedPageBreak/>
              <w:t>8 CCR 1507-45</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 Security Disbursement (SSD)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Repeal</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24-33.5-1810 (7),</w:t>
            </w:r>
          </w:p>
          <w:p w:rsidR="00C57A0F" w:rsidRDefault="007203B1">
            <w:pPr>
              <w:rPr>
                <w:sz w:val="20"/>
                <w:szCs w:val="20"/>
              </w:rPr>
            </w:pPr>
            <w:r>
              <w:rPr>
                <w:sz w:val="20"/>
                <w:szCs w:val="20"/>
              </w:rPr>
              <w:t>24-33.5-2702,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Repeal rules transferred from Division of Homeland Security and Emergency Management to the Executive Director’s Office, Office of School Safety. These rules have been revised and adopted as 8 CCR 1507-71 on 10/06/2023.</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Schools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Repealed</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10/30/2023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w:t>
            </w:r>
            <w:r>
              <w:rPr>
                <w:sz w:val="20"/>
                <w:szCs w:val="20"/>
              </w:rPr>
              <w:t>ng hearing 10/30/2023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1507-80</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Public Safety Communications Trust Fund</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 &amp; 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24-33.5-2501, 24-33.5-2502, 24-33.5-2505,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Transfer rules 8 CCR 1501-8 Rules in Support of the Governor’s Office of Information Technology Public Safety Trust</w:t>
            </w:r>
            <w:r>
              <w:rPr>
                <w:sz w:val="20"/>
                <w:szCs w:val="20"/>
              </w:rPr>
              <w:t xml:space="preserve"> Fund from the State OIT to the Department of Public Safety and continued to be administered by the Office of Public Safety Communications, which was statutorily transferred to the Division of Homeland Security and Emergency Management. The transferred rul</w:t>
            </w:r>
            <w:r>
              <w:rPr>
                <w:sz w:val="20"/>
                <w:szCs w:val="20"/>
              </w:rPr>
              <w:t>es are adopted as new rules with revisions to update fund distribution and repayment and reporting procedures.</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Local governments, state agencies, and law enforcement agencies.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Pending Hearing</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Anticipated 11/17/2023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scheduled for 11/15/2023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lastRenderedPageBreak/>
              <w:t>8 CCR 1507-81</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Office of Public Safety Communications Administration</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New</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24-33.5-2501,</w:t>
            </w:r>
          </w:p>
          <w:p w:rsidR="00C57A0F" w:rsidRDefault="007203B1">
            <w:pPr>
              <w:rPr>
                <w:sz w:val="20"/>
                <w:szCs w:val="20"/>
              </w:rPr>
            </w:pPr>
            <w:r>
              <w:rPr>
                <w:sz w:val="20"/>
                <w:szCs w:val="20"/>
              </w:rPr>
              <w:t>24-33.5-2503</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 xml:space="preserve">Adopt rules for the administration of </w:t>
            </w:r>
            <w:proofErr w:type="gramStart"/>
            <w:r>
              <w:rPr>
                <w:sz w:val="20"/>
                <w:szCs w:val="20"/>
              </w:rPr>
              <w:t>the  powers</w:t>
            </w:r>
            <w:proofErr w:type="gramEnd"/>
            <w:r>
              <w:rPr>
                <w:sz w:val="20"/>
                <w:szCs w:val="20"/>
              </w:rPr>
              <w:t>, duties, and functions of the Office of Public Safety Communication to ensure the continuity of existence t</w:t>
            </w:r>
            <w:r>
              <w:rPr>
                <w:sz w:val="20"/>
                <w:szCs w:val="20"/>
              </w:rPr>
              <w:t>hrough the transfer of functions of the OPSC from the State Office of Information Technology to the Division of Homeland Security and Emergency Management in the Department of Public Safety.</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Local governments, state agencies, and law enforcement agencies.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Pending Hearing</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Anticipated 11/17/2023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scheduled for 11/15/2023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1507-12</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Persons Dealing with Fireworks</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Revision</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C57A0F">
            <w:pPr>
              <w:rPr>
                <w:sz w:val="20"/>
                <w:szCs w:val="20"/>
              </w:rPr>
            </w:pP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C57A0F">
            <w:pPr>
              <w:rPr>
                <w:sz w:val="20"/>
                <w:szCs w:val="20"/>
              </w:rPr>
            </w:pP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Local governments, state agencies, Fire Chiefs, Fire Marshalls, Fire District officials, and the general public.</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Pending Hearing</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Anticipated 11/17/2023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Rulemaking scheduled for 11/16/2023</w:t>
            </w:r>
          </w:p>
        </w:tc>
      </w:tr>
      <w:tr w:rsidR="00C57A0F">
        <w:trPr>
          <w:cantSplit/>
        </w:trPr>
        <w:tc>
          <w:tcPr>
            <w:tcW w:w="9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8 CCR 1507-43</w:t>
            </w:r>
          </w:p>
        </w:tc>
        <w:tc>
          <w:tcPr>
            <w:tcW w:w="18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Reserve Peace Officer Academy Grant Program</w:t>
            </w:r>
          </w:p>
        </w:tc>
        <w:tc>
          <w:tcPr>
            <w:tcW w:w="11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Repeal</w:t>
            </w:r>
          </w:p>
        </w:tc>
        <w:tc>
          <w:tcPr>
            <w:tcW w:w="15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24-33.5-1616, C.R.S.</w:t>
            </w:r>
          </w:p>
        </w:tc>
        <w:tc>
          <w:tcPr>
            <w:tcW w:w="292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C57A0F" w:rsidRDefault="007203B1">
            <w:pPr>
              <w:rPr>
                <w:sz w:val="20"/>
                <w:szCs w:val="20"/>
              </w:rPr>
            </w:pPr>
            <w:r>
              <w:rPr>
                <w:sz w:val="20"/>
                <w:szCs w:val="20"/>
              </w:rPr>
              <w:t>Rule authority was repealed when statute was repealed 7/1/2019. Rulemaking is needed to formally repeal rules.</w:t>
            </w:r>
          </w:p>
        </w:tc>
        <w:tc>
          <w:tcPr>
            <w:tcW w:w="231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widowControl/>
              <w:rPr>
                <w:sz w:val="20"/>
                <w:szCs w:val="20"/>
              </w:rPr>
            </w:pPr>
            <w:r>
              <w:rPr>
                <w:sz w:val="20"/>
                <w:szCs w:val="20"/>
              </w:rPr>
              <w:t>Political subdivisions of the state that are comprised of multiple jurisdictions and formed for the purpose of funding a reserve peace officer ac</w:t>
            </w:r>
            <w:r>
              <w:rPr>
                <w:sz w:val="20"/>
                <w:szCs w:val="20"/>
              </w:rPr>
              <w:t>ademy; Law enforcement agencies</w:t>
            </w:r>
          </w:p>
        </w:tc>
        <w:tc>
          <w:tcPr>
            <w:tcW w:w="9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Pending Hearing</w:t>
            </w:r>
          </w:p>
        </w:tc>
        <w:tc>
          <w:tcPr>
            <w:tcW w:w="121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Anticipated 11/30/2023</w:t>
            </w:r>
          </w:p>
        </w:tc>
        <w:tc>
          <w:tcPr>
            <w:tcW w:w="15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C57A0F" w:rsidRDefault="007203B1">
            <w:pPr>
              <w:rPr>
                <w:sz w:val="20"/>
                <w:szCs w:val="20"/>
              </w:rPr>
            </w:pPr>
            <w:r>
              <w:rPr>
                <w:sz w:val="20"/>
                <w:szCs w:val="20"/>
              </w:rPr>
              <w:t xml:space="preserve">Rulemaking scheduled for 11/30/2023 </w:t>
            </w:r>
          </w:p>
        </w:tc>
      </w:tr>
    </w:tbl>
    <w:p w:rsidR="00C57A0F" w:rsidRDefault="00C57A0F">
      <w:pPr>
        <w:pBdr>
          <w:top w:val="nil"/>
          <w:left w:val="nil"/>
          <w:bottom w:val="nil"/>
          <w:right w:val="nil"/>
          <w:between w:val="nil"/>
        </w:pBdr>
        <w:rPr>
          <w:color w:val="000000"/>
          <w:sz w:val="20"/>
          <w:szCs w:val="20"/>
        </w:rPr>
      </w:pPr>
    </w:p>
    <w:sectPr w:rsidR="00C57A0F">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3B1" w:rsidRDefault="007203B1">
      <w:r>
        <w:separator/>
      </w:r>
    </w:p>
  </w:endnote>
  <w:endnote w:type="continuationSeparator" w:id="0">
    <w:p w:rsidR="007203B1" w:rsidRDefault="0072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0F" w:rsidRDefault="007203B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336F8">
      <w:rPr>
        <w:color w:val="000000"/>
      </w:rPr>
      <w:fldChar w:fldCharType="separate"/>
    </w:r>
    <w:r w:rsidR="000336F8">
      <w:rPr>
        <w:noProof/>
        <w:color w:val="000000"/>
      </w:rPr>
      <w:t>2</w:t>
    </w:r>
    <w:r>
      <w:rPr>
        <w:color w:val="000000"/>
      </w:rPr>
      <w:fldChar w:fldCharType="end"/>
    </w:r>
  </w:p>
  <w:p w:rsidR="00C57A0F" w:rsidRDefault="00C57A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3B1" w:rsidRDefault="007203B1">
      <w:r>
        <w:separator/>
      </w:r>
    </w:p>
  </w:footnote>
  <w:footnote w:type="continuationSeparator" w:id="0">
    <w:p w:rsidR="007203B1" w:rsidRDefault="0072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0F" w:rsidRDefault="00C57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54D9C"/>
    <w:multiLevelType w:val="multilevel"/>
    <w:tmpl w:val="472A7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Mg2qtj6uMeTZgxRN480xbMijyA93vfMGI7EhIaWD/w91WXknvuEMvgipXuDeYTvUGBEprnzTA4M6uqyoWzzBg==" w:salt="KBciQHFWNzksQ84Yc0N3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A0F"/>
    <w:rsid w:val="000336F8"/>
    <w:rsid w:val="007203B1"/>
    <w:rsid w:val="00C5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9FCC75"/>
  <w15:docId w15:val="{2289912F-823D-4B00-A8D4-59EEC129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next w:val="Normal"/>
    <w:link w:val="Heading1Char"/>
    <w:uiPriority w:val="9"/>
    <w:qFormat/>
    <w:rsid w:val="00340C4A"/>
    <w:pPr>
      <w:keepNext/>
      <w:keepLines/>
      <w:spacing w:before="240"/>
      <w:outlineLvl w:val="0"/>
    </w:pPr>
    <w:rPr>
      <w:rFonts w:eastAsiaTheme="majorEastAsia"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150B26"/>
    <w:pPr>
      <w:keepNext/>
      <w:keepLines/>
      <w:spacing w:before="40"/>
      <w:outlineLvl w:val="1"/>
    </w:pPr>
    <w:rPr>
      <w:rFonts w:eastAsiaTheme="majorEastAsia" w:cstheme="majorBidi"/>
      <w:color w:val="FFFFFF" w:themeColor="background1"/>
      <w:sz w:val="24"/>
      <w:szCs w:val="26"/>
    </w:rPr>
  </w:style>
  <w:style w:type="paragraph" w:styleId="Heading3">
    <w:name w:val="heading 3"/>
    <w:basedOn w:val="Normal"/>
    <w:next w:val="Normal"/>
    <w:link w:val="Heading3Char"/>
    <w:uiPriority w:val="9"/>
    <w:semiHidden/>
    <w:unhideWhenUsed/>
    <w:qFormat/>
    <w:rsid w:val="00150B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0C4A"/>
    <w:pPr>
      <w:contextualSpacing/>
    </w:pPr>
    <w:rPr>
      <w:rFonts w:eastAsiaTheme="majorEastAsia" w:cstheme="majorBidi"/>
      <w:spacing w:val="-10"/>
      <w:kern w:val="28"/>
      <w:sz w:val="56"/>
      <w:szCs w:val="56"/>
    </w:rPr>
  </w:style>
  <w:style w:type="paragraph" w:styleId="BodyText">
    <w:name w:val="Body Text"/>
    <w:basedOn w:val="Normal"/>
    <w:uiPriority w:val="1"/>
    <w:qFormat/>
    <w:rsid w:val="00A17FC4"/>
    <w:rPr>
      <w:sz w:val="24"/>
    </w:rPr>
  </w:style>
  <w:style w:type="paragraph" w:styleId="ListParagraph">
    <w:name w:val="List Paragraph"/>
    <w:basedOn w:val="Normal"/>
    <w:uiPriority w:val="1"/>
    <w:qFormat/>
    <w:pPr>
      <w:spacing w:before="59"/>
      <w:ind w:left="840" w:hanging="360"/>
    </w:pPr>
  </w:style>
  <w:style w:type="paragraph" w:customStyle="1" w:styleId="TableParagraph">
    <w:name w:val="Table Paragraph"/>
    <w:basedOn w:val="Normal"/>
    <w:uiPriority w:val="1"/>
    <w:qFormat/>
    <w:rsid w:val="00150B26"/>
    <w:rPr>
      <w:sz w:val="20"/>
    </w:rPr>
  </w:style>
  <w:style w:type="character" w:customStyle="1" w:styleId="Heading1Char">
    <w:name w:val="Heading 1 Char"/>
    <w:basedOn w:val="DefaultParagraphFont"/>
    <w:link w:val="Heading1"/>
    <w:uiPriority w:val="9"/>
    <w:rsid w:val="00340C4A"/>
    <w:rPr>
      <w:rFonts w:ascii="Trebuchet MS" w:eastAsiaTheme="majorEastAsia" w:hAnsi="Trebuchet MS" w:cstheme="majorBidi"/>
      <w:color w:val="365F91" w:themeColor="accent1" w:themeShade="BF"/>
      <w:sz w:val="36"/>
      <w:szCs w:val="32"/>
      <w:lang w:bidi="en-US"/>
    </w:rPr>
  </w:style>
  <w:style w:type="character" w:customStyle="1" w:styleId="Heading2Char">
    <w:name w:val="Heading 2 Char"/>
    <w:basedOn w:val="DefaultParagraphFont"/>
    <w:link w:val="Heading2"/>
    <w:uiPriority w:val="9"/>
    <w:rsid w:val="00150B26"/>
    <w:rPr>
      <w:rFonts w:ascii="Trebuchet MS" w:eastAsiaTheme="majorEastAsia" w:hAnsi="Trebuchet MS" w:cstheme="majorBidi"/>
      <w:color w:val="FFFFFF" w:themeColor="background1"/>
      <w:sz w:val="24"/>
      <w:szCs w:val="26"/>
      <w:lang w:bidi="en-US"/>
    </w:rPr>
  </w:style>
  <w:style w:type="character" w:customStyle="1" w:styleId="TitleChar">
    <w:name w:val="Title Char"/>
    <w:basedOn w:val="DefaultParagraphFont"/>
    <w:link w:val="Title"/>
    <w:uiPriority w:val="10"/>
    <w:rsid w:val="00340C4A"/>
    <w:rPr>
      <w:rFonts w:ascii="Trebuchet MS" w:eastAsiaTheme="majorEastAsia" w:hAnsi="Trebuchet MS" w:cstheme="majorBidi"/>
      <w:spacing w:val="-10"/>
      <w:kern w:val="28"/>
      <w:sz w:val="56"/>
      <w:szCs w:val="56"/>
      <w:lang w:bidi="en-US"/>
    </w:rPr>
  </w:style>
  <w:style w:type="paragraph" w:styleId="Header">
    <w:name w:val="header"/>
    <w:basedOn w:val="Normal"/>
    <w:link w:val="HeaderChar"/>
    <w:uiPriority w:val="99"/>
    <w:unhideWhenUsed/>
    <w:rsid w:val="00B90702"/>
    <w:pPr>
      <w:tabs>
        <w:tab w:val="center" w:pos="4680"/>
        <w:tab w:val="right" w:pos="9360"/>
      </w:tabs>
    </w:pPr>
  </w:style>
  <w:style w:type="character" w:customStyle="1" w:styleId="HeaderChar">
    <w:name w:val="Header Char"/>
    <w:basedOn w:val="DefaultParagraphFont"/>
    <w:link w:val="Header"/>
    <w:uiPriority w:val="99"/>
    <w:rsid w:val="00B90702"/>
    <w:rPr>
      <w:rFonts w:ascii="Trebuchet MS" w:eastAsia="Trebuchet MS" w:hAnsi="Trebuchet MS" w:cs="Trebuchet MS"/>
      <w:lang w:bidi="en-US"/>
    </w:rPr>
  </w:style>
  <w:style w:type="paragraph" w:styleId="Footer">
    <w:name w:val="footer"/>
    <w:basedOn w:val="Normal"/>
    <w:link w:val="FooterChar"/>
    <w:uiPriority w:val="99"/>
    <w:unhideWhenUsed/>
    <w:rsid w:val="00B90702"/>
    <w:pPr>
      <w:tabs>
        <w:tab w:val="center" w:pos="4680"/>
        <w:tab w:val="right" w:pos="9360"/>
      </w:tabs>
    </w:pPr>
  </w:style>
  <w:style w:type="character" w:customStyle="1" w:styleId="FooterChar">
    <w:name w:val="Footer Char"/>
    <w:basedOn w:val="DefaultParagraphFont"/>
    <w:link w:val="Footer"/>
    <w:uiPriority w:val="99"/>
    <w:rsid w:val="00B90702"/>
    <w:rPr>
      <w:rFonts w:ascii="Trebuchet MS" w:eastAsia="Trebuchet MS" w:hAnsi="Trebuchet MS" w:cs="Trebuchet MS"/>
      <w:lang w:bidi="en-US"/>
    </w:rPr>
  </w:style>
  <w:style w:type="character" w:customStyle="1" w:styleId="Heading3Char">
    <w:name w:val="Heading 3 Char"/>
    <w:basedOn w:val="DefaultParagraphFont"/>
    <w:link w:val="Heading3"/>
    <w:uiPriority w:val="9"/>
    <w:rsid w:val="00150B26"/>
    <w:rPr>
      <w:rFonts w:asciiTheme="majorHAnsi" w:eastAsiaTheme="majorEastAsia" w:hAnsiTheme="majorHAnsi" w:cstheme="majorBidi"/>
      <w:color w:val="243F60" w:themeColor="accent1" w:themeShade="7F"/>
      <w:sz w:val="24"/>
      <w:szCs w:val="24"/>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6nnlXnflYpVuc+xhUWv9D2KgBw==">CgMxLjAyCGguZ2pkZ3hzOAByITFTVUFOR0QxR3htQklBQXVTZHlhUVVhRlJCcnoxWWhvUA==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2264</Words>
  <Characters>12909</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Colorado Department of Public Safety</Company>
  <LinksUpToDate>false</LinksUpToDate>
  <CharactersWithSpaces>15143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 Emily</dc:creator>
  <cp:lastModifiedBy>Christine Moreno</cp:lastModifiedBy>
  <cp:revision>2</cp:revision>
  <dcterms:created xsi:type="dcterms:W3CDTF">2023-10-31T21:51:00Z</dcterms:created>
  <dcterms:modified xsi:type="dcterms:W3CDTF">2023-10-31T21:51:00Z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Acrobat PDFMaker 11 for Word</vt:lpwstr>
  </property>
  <property fmtid="{D5CDD505-2E9C-101B-9397-08002B2CF9AE}" pid="4" name="LastSaved">
    <vt:filetime>2022-10-24T00:00:00Z</vt:filetime>
  </property>
</Properties>
</file>